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23D91" w14:textId="77777777" w:rsidR="00ED4385" w:rsidRPr="00CE1317" w:rsidRDefault="00ED4385" w:rsidP="00ED4385">
      <w:pPr>
        <w:rPr>
          <w:rFonts w:ascii="Arial" w:hAnsi="Arial" w:cs="Arial"/>
          <w:i/>
          <w:iCs/>
          <w:sz w:val="22"/>
          <w:szCs w:val="22"/>
        </w:rPr>
      </w:pPr>
      <w:r w:rsidRPr="00CE1317">
        <w:rPr>
          <w:rFonts w:ascii="Arial" w:hAnsi="Arial" w:cs="Arial"/>
          <w:i/>
          <w:iCs/>
          <w:sz w:val="22"/>
          <w:szCs w:val="22"/>
        </w:rPr>
        <w:t>PLEASE READ!!</w:t>
      </w:r>
    </w:p>
    <w:p w14:paraId="1CE0CBC1" w14:textId="77777777" w:rsidR="00ED4385" w:rsidRPr="00CE1317" w:rsidRDefault="00ED4385" w:rsidP="00ED4385">
      <w:pPr>
        <w:rPr>
          <w:rFonts w:ascii="Arial" w:hAnsi="Arial" w:cs="Arial"/>
          <w:sz w:val="22"/>
          <w:szCs w:val="22"/>
        </w:rPr>
      </w:pPr>
    </w:p>
    <w:p w14:paraId="76F56A0D"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HELENA LABORATORIES</w:t>
      </w:r>
    </w:p>
    <w:p w14:paraId="3FF264BE"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PROCEDURE DOWNLOAD</w:t>
      </w:r>
      <w:r>
        <w:rPr>
          <w:rFonts w:ascii="Arial" w:hAnsi="Arial" w:cs="Arial"/>
          <w:b/>
          <w:bCs/>
          <w:sz w:val="20"/>
          <w:szCs w:val="20"/>
        </w:rPr>
        <w:t xml:space="preserve"> END USER AGREEMENT</w:t>
      </w:r>
    </w:p>
    <w:p w14:paraId="510F95C7" w14:textId="77777777" w:rsidR="00ED4385" w:rsidRPr="00CE1317" w:rsidRDefault="00ED4385" w:rsidP="00ED4385">
      <w:pPr>
        <w:rPr>
          <w:rFonts w:ascii="Arial" w:hAnsi="Arial" w:cs="Arial"/>
          <w:sz w:val="20"/>
          <w:szCs w:val="20"/>
        </w:rPr>
      </w:pPr>
    </w:p>
    <w:p w14:paraId="5DF1DB71" w14:textId="77777777" w:rsidR="00ED4385" w:rsidRPr="00CE1317" w:rsidRDefault="00ED4385" w:rsidP="00ED4385">
      <w:pPr>
        <w:rPr>
          <w:rFonts w:ascii="Arial" w:hAnsi="Arial" w:cs="Arial"/>
          <w:sz w:val="20"/>
          <w:szCs w:val="20"/>
        </w:rPr>
      </w:pPr>
    </w:p>
    <w:p w14:paraId="227C6A53" w14:textId="77777777" w:rsidR="00ED4385" w:rsidRPr="00CE1317" w:rsidRDefault="00ED4385" w:rsidP="00ED4385">
      <w:pPr>
        <w:rPr>
          <w:rFonts w:ascii="Arial" w:hAnsi="Arial" w:cs="Arial"/>
          <w:sz w:val="20"/>
          <w:szCs w:val="20"/>
        </w:rPr>
      </w:pPr>
      <w:r w:rsidRPr="00CE1317">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1A07B7B0" w14:textId="77777777" w:rsidR="00ED4385" w:rsidRPr="00CE1317" w:rsidRDefault="00ED4385" w:rsidP="00ED4385">
      <w:pPr>
        <w:rPr>
          <w:rFonts w:ascii="Arial" w:hAnsi="Arial" w:cs="Arial"/>
          <w:sz w:val="20"/>
          <w:szCs w:val="20"/>
        </w:rPr>
      </w:pPr>
    </w:p>
    <w:p w14:paraId="351EA3FE" w14:textId="77777777" w:rsidR="00ED4385" w:rsidRPr="00CE1317" w:rsidRDefault="00ED4385" w:rsidP="00ED4385">
      <w:pPr>
        <w:rPr>
          <w:rFonts w:ascii="Arial" w:hAnsi="Arial" w:cs="Arial"/>
          <w:sz w:val="20"/>
          <w:szCs w:val="20"/>
        </w:rPr>
      </w:pPr>
      <w:r w:rsidRPr="00CE1317">
        <w:rPr>
          <w:rFonts w:ascii="Arial" w:hAnsi="Arial" w:cs="Arial"/>
          <w:sz w:val="20"/>
          <w:szCs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CE1317">
        <w:rPr>
          <w:rFonts w:ascii="Arial" w:hAnsi="Arial" w:cs="Arial"/>
          <w:sz w:val="20"/>
          <w:szCs w:val="20"/>
        </w:rPr>
        <w:t>{ }</w:t>
      </w:r>
      <w:proofErr w:type="gramEnd"/>
      <w:r w:rsidRPr="00CE1317">
        <w:rPr>
          <w:rFonts w:ascii="Arial" w:hAnsi="Arial" w:cs="Arial"/>
          <w:sz w:val="20"/>
          <w:szCs w:val="20"/>
        </w:rPr>
        <w:t>.</w:t>
      </w:r>
    </w:p>
    <w:p w14:paraId="738624EE" w14:textId="77777777" w:rsidR="00ED4385" w:rsidRPr="00CE1317" w:rsidRDefault="00ED4385" w:rsidP="00ED4385">
      <w:pPr>
        <w:rPr>
          <w:rFonts w:ascii="Arial" w:hAnsi="Arial" w:cs="Arial"/>
          <w:sz w:val="20"/>
          <w:szCs w:val="20"/>
        </w:rPr>
      </w:pPr>
    </w:p>
    <w:p w14:paraId="7C43C09C" w14:textId="77777777" w:rsidR="00ED4385" w:rsidRPr="00CE1317" w:rsidRDefault="00ED4385" w:rsidP="00ED4385">
      <w:pPr>
        <w:rPr>
          <w:rFonts w:ascii="Arial" w:hAnsi="Arial" w:cs="Arial"/>
          <w:sz w:val="20"/>
          <w:szCs w:val="20"/>
        </w:rPr>
      </w:pPr>
      <w:r w:rsidRPr="00CE1317">
        <w:rPr>
          <w:rFonts w:ascii="Arial" w:hAnsi="Arial" w:cs="Arial"/>
          <w:sz w:val="20"/>
          <w:szCs w:val="20"/>
        </w:rPr>
        <w:t>WHAT YOU NEED TO KNOW:</w:t>
      </w:r>
    </w:p>
    <w:p w14:paraId="4E410E24" w14:textId="77777777" w:rsidR="00ED4385" w:rsidRPr="00CE1317" w:rsidRDefault="00ED4385" w:rsidP="00ED4385">
      <w:pPr>
        <w:rPr>
          <w:rFonts w:ascii="Arial" w:hAnsi="Arial" w:cs="Arial"/>
          <w:sz w:val="20"/>
          <w:szCs w:val="20"/>
        </w:rPr>
      </w:pPr>
    </w:p>
    <w:p w14:paraId="30C86374"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These files represent the most current revisi</w:t>
      </w:r>
      <w:r>
        <w:rPr>
          <w:rFonts w:ascii="Arial" w:hAnsi="Arial" w:cs="Arial"/>
          <w:sz w:val="20"/>
          <w:szCs w:val="20"/>
        </w:rPr>
        <w:t xml:space="preserve">on level to date.  Your current </w:t>
      </w:r>
      <w:r w:rsidRPr="00CE1317">
        <w:rPr>
          <w:rFonts w:ascii="Arial" w:hAnsi="Arial" w:cs="Arial"/>
          <w:sz w:val="20"/>
          <w:szCs w:val="20"/>
        </w:rPr>
        <w:t>product inventory could contain a previous revision level of this procedure.</w:t>
      </w:r>
    </w:p>
    <w:p w14:paraId="129C33F5" w14:textId="77777777" w:rsidR="00ED4385" w:rsidRPr="00CE1317" w:rsidRDefault="00ED4385" w:rsidP="00ED4385">
      <w:pPr>
        <w:rPr>
          <w:rFonts w:ascii="Arial" w:hAnsi="Arial" w:cs="Arial"/>
          <w:sz w:val="20"/>
          <w:szCs w:val="20"/>
        </w:rPr>
      </w:pPr>
    </w:p>
    <w:p w14:paraId="0D81F72D"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The Microsoft Word document provides the text only from the master procedure, in a single-column format.</w:t>
      </w:r>
    </w:p>
    <w:p w14:paraId="4DF44387" w14:textId="77777777" w:rsidR="00ED4385" w:rsidRPr="00CE1317" w:rsidRDefault="00ED4385" w:rsidP="00ED4385">
      <w:pPr>
        <w:rPr>
          <w:rFonts w:ascii="Arial" w:hAnsi="Arial" w:cs="Arial"/>
          <w:sz w:val="20"/>
          <w:szCs w:val="20"/>
        </w:rPr>
      </w:pPr>
    </w:p>
    <w:p w14:paraId="2ECF6524" w14:textId="77777777" w:rsidR="00ED4385" w:rsidRPr="00CE1317" w:rsidRDefault="00ED4385" w:rsidP="00ED4385">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It may not contain any illustrations, graphics or captions that may be part of the master procedure included in the kit.</w:t>
      </w:r>
    </w:p>
    <w:p w14:paraId="6567DA69" w14:textId="77777777" w:rsidR="00ED4385" w:rsidRPr="00CE1317" w:rsidRDefault="00ED4385" w:rsidP="00ED4385">
      <w:pPr>
        <w:ind w:left="1350" w:hanging="540"/>
        <w:rPr>
          <w:rFonts w:ascii="Arial" w:hAnsi="Arial" w:cs="Arial"/>
          <w:sz w:val="20"/>
          <w:szCs w:val="20"/>
        </w:rPr>
      </w:pPr>
    </w:p>
    <w:p w14:paraId="5C32E128" w14:textId="77777777" w:rsidR="00ED4385" w:rsidRPr="00CE1317" w:rsidRDefault="00ED4385" w:rsidP="00ED4385">
      <w:pPr>
        <w:ind w:left="1350" w:hanging="540"/>
        <w:rPr>
          <w:rFonts w:ascii="Arial" w:hAnsi="Arial" w:cs="Arial"/>
          <w:sz w:val="20"/>
          <w:szCs w:val="20"/>
        </w:rPr>
      </w:pPr>
      <w:r>
        <w:rPr>
          <w:rFonts w:ascii="Arial" w:hAnsi="Arial" w:cs="Arial"/>
          <w:sz w:val="20"/>
          <w:szCs w:val="20"/>
        </w:rPr>
        <w:t>-</w:t>
      </w:r>
      <w:r>
        <w:rPr>
          <w:rFonts w:ascii="Arial" w:hAnsi="Arial" w:cs="Arial"/>
          <w:sz w:val="20"/>
          <w:szCs w:val="20"/>
        </w:rPr>
        <w:tab/>
      </w:r>
      <w:r w:rsidRPr="00CE1317">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26F4B4C4" w14:textId="77777777" w:rsidR="00ED4385" w:rsidRPr="00CE1317" w:rsidRDefault="00ED4385" w:rsidP="00ED4385">
      <w:pPr>
        <w:ind w:left="1350" w:hanging="540"/>
        <w:rPr>
          <w:rFonts w:ascii="Arial" w:hAnsi="Arial" w:cs="Arial"/>
          <w:sz w:val="20"/>
          <w:szCs w:val="20"/>
        </w:rPr>
      </w:pPr>
    </w:p>
    <w:p w14:paraId="14C79900" w14:textId="77777777" w:rsidR="00ED4385" w:rsidRPr="00CE1317" w:rsidRDefault="00ED4385" w:rsidP="00ED4385">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The master procedures may also contain columns of tabbed data.  Tab settings may or may not be displayed properly on your desktop.</w:t>
      </w:r>
    </w:p>
    <w:p w14:paraId="484547A7" w14:textId="77777777" w:rsidR="00ED4385" w:rsidRPr="00CE1317" w:rsidRDefault="00ED4385" w:rsidP="00ED4385">
      <w:pPr>
        <w:rPr>
          <w:rFonts w:ascii="Arial" w:hAnsi="Arial" w:cs="Arial"/>
          <w:sz w:val="20"/>
          <w:szCs w:val="20"/>
        </w:rPr>
      </w:pPr>
    </w:p>
    <w:p w14:paraId="24DAA36B"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The Adobe Acrobat PDF file provides a snapshot of the master procedure in a printable 8.5 x 11” format.  It is provided to serve as a reference for accuracy.</w:t>
      </w:r>
    </w:p>
    <w:p w14:paraId="72BBF9DD" w14:textId="77777777" w:rsidR="00ED4385" w:rsidRPr="00CE1317" w:rsidRDefault="00ED4385" w:rsidP="00ED4385">
      <w:pPr>
        <w:rPr>
          <w:rFonts w:ascii="Arial" w:hAnsi="Arial" w:cs="Arial"/>
          <w:sz w:val="20"/>
          <w:szCs w:val="20"/>
        </w:rPr>
      </w:pPr>
    </w:p>
    <w:p w14:paraId="306D83C1"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By downloading this procedure, your institution is assuming responsibility for modification and usage.</w:t>
      </w:r>
    </w:p>
    <w:p w14:paraId="74644F50" w14:textId="77777777" w:rsidR="00ED4385" w:rsidRPr="00CE1317" w:rsidRDefault="00ED4385" w:rsidP="00ED4385">
      <w:pPr>
        <w:rPr>
          <w:rFonts w:ascii="Arial" w:hAnsi="Arial" w:cs="Arial"/>
          <w:b/>
          <w:bCs/>
          <w:sz w:val="20"/>
          <w:szCs w:val="20"/>
        </w:rPr>
      </w:pPr>
      <w:r w:rsidRPr="00CE1317">
        <w:rPr>
          <w:rFonts w:ascii="Arial" w:hAnsi="Arial" w:cs="Arial"/>
          <w:sz w:val="20"/>
          <w:szCs w:val="20"/>
        </w:rPr>
        <w:br w:type="page"/>
      </w:r>
      <w:r w:rsidRPr="00CE1317">
        <w:rPr>
          <w:rFonts w:ascii="Arial" w:hAnsi="Arial" w:cs="Arial"/>
          <w:b/>
          <w:bCs/>
          <w:sz w:val="20"/>
          <w:szCs w:val="20"/>
        </w:rPr>
        <w:lastRenderedPageBreak/>
        <w:t>HELENA LABORATORIES</w:t>
      </w:r>
    </w:p>
    <w:p w14:paraId="4743A5DA"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PROCEDURE DOWNLOAD END USER AGREEMENT</w:t>
      </w:r>
    </w:p>
    <w:p w14:paraId="093E645B" w14:textId="77777777" w:rsidR="00ED4385" w:rsidRPr="00CE1317" w:rsidRDefault="00ED4385" w:rsidP="00ED4385">
      <w:pPr>
        <w:rPr>
          <w:rFonts w:ascii="Arial" w:hAnsi="Arial" w:cs="Arial"/>
          <w:sz w:val="20"/>
          <w:szCs w:val="20"/>
        </w:rPr>
      </w:pPr>
    </w:p>
    <w:p w14:paraId="399CA777" w14:textId="77777777" w:rsidR="00ED4385" w:rsidRPr="00CE1317" w:rsidRDefault="00ED4385" w:rsidP="00ED4385">
      <w:pPr>
        <w:rPr>
          <w:rFonts w:ascii="Arial" w:hAnsi="Arial" w:cs="Arial"/>
          <w:sz w:val="20"/>
          <w:szCs w:val="20"/>
        </w:rPr>
      </w:pPr>
    </w:p>
    <w:p w14:paraId="49D140BE" w14:textId="77777777" w:rsidR="00ED4385" w:rsidRPr="00CE1317" w:rsidRDefault="00ED4385" w:rsidP="00ED4385">
      <w:pPr>
        <w:rPr>
          <w:rFonts w:ascii="Arial" w:hAnsi="Arial" w:cs="Arial"/>
          <w:sz w:val="20"/>
          <w:szCs w:val="20"/>
        </w:rPr>
      </w:pPr>
    </w:p>
    <w:p w14:paraId="7BADA1EB" w14:textId="77777777" w:rsidR="00ED4385" w:rsidRPr="00CE1317" w:rsidRDefault="00ED4385" w:rsidP="00ED4385">
      <w:pPr>
        <w:rPr>
          <w:rFonts w:ascii="Arial" w:hAnsi="Arial" w:cs="Arial"/>
          <w:sz w:val="20"/>
          <w:szCs w:val="20"/>
        </w:rPr>
      </w:pPr>
      <w:r w:rsidRPr="00CE1317">
        <w:rPr>
          <w:rFonts w:ascii="Arial" w:hAnsi="Arial" w:cs="Arial"/>
          <w:sz w:val="20"/>
          <w:szCs w:val="20"/>
        </w:rPr>
        <w:t>HELENA LABORATORIES LABELING – Style/Format Outline</w:t>
      </w:r>
    </w:p>
    <w:p w14:paraId="4F29BFF6" w14:textId="77777777" w:rsidR="00ED4385" w:rsidRPr="00CE1317" w:rsidRDefault="00ED4385" w:rsidP="00ED4385">
      <w:pPr>
        <w:rPr>
          <w:rFonts w:ascii="Arial" w:hAnsi="Arial" w:cs="Arial"/>
          <w:sz w:val="20"/>
          <w:szCs w:val="20"/>
        </w:rPr>
      </w:pPr>
    </w:p>
    <w:p w14:paraId="0FB6297F" w14:textId="77777777" w:rsidR="00ED4385" w:rsidRPr="00CE1317" w:rsidRDefault="00ED4385" w:rsidP="00ED4385">
      <w:pPr>
        <w:rPr>
          <w:rFonts w:ascii="Arial" w:hAnsi="Arial" w:cs="Arial"/>
          <w:sz w:val="20"/>
          <w:szCs w:val="20"/>
        </w:rPr>
      </w:pPr>
    </w:p>
    <w:p w14:paraId="5A629A8B" w14:textId="77777777" w:rsidR="00ED4385" w:rsidRPr="00CE1317" w:rsidRDefault="00ED4385" w:rsidP="00ED4385">
      <w:pPr>
        <w:rPr>
          <w:rFonts w:ascii="Arial" w:hAnsi="Arial" w:cs="Arial"/>
          <w:sz w:val="20"/>
          <w:szCs w:val="20"/>
        </w:rPr>
      </w:pPr>
    </w:p>
    <w:p w14:paraId="13CFA32F" w14:textId="77777777" w:rsidR="00ED4385" w:rsidRPr="00CE1317" w:rsidRDefault="00ED4385" w:rsidP="00ED4385">
      <w:pPr>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PRODUCT {Test} NAME</w:t>
      </w:r>
    </w:p>
    <w:p w14:paraId="1FB41000" w14:textId="77777777" w:rsidR="00ED4385" w:rsidRPr="00CE1317" w:rsidRDefault="00ED4385" w:rsidP="00ED4385">
      <w:pPr>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INTENDED USE and TEST TYPE (qualitative or qualitative)</w:t>
      </w:r>
    </w:p>
    <w:p w14:paraId="59D6A63E" w14:textId="77777777" w:rsidR="00ED4385" w:rsidRPr="00CE1317" w:rsidRDefault="00ED4385" w:rsidP="00ED4385">
      <w:pPr>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SUMMARY AND EXPLANATION</w:t>
      </w:r>
    </w:p>
    <w:p w14:paraId="1AB474FD" w14:textId="77777777" w:rsidR="00ED4385" w:rsidRPr="00CE1317" w:rsidRDefault="00ED4385" w:rsidP="00ED4385">
      <w:pPr>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PRINCIPLES OF THE PROCEDURE</w:t>
      </w:r>
    </w:p>
    <w:p w14:paraId="17F8C6EF" w14:textId="77777777" w:rsidR="00ED4385" w:rsidRPr="00CE1317" w:rsidRDefault="00ED4385" w:rsidP="00ED4385">
      <w:pPr>
        <w:rPr>
          <w:rFonts w:ascii="Arial" w:hAnsi="Arial" w:cs="Arial"/>
          <w:sz w:val="20"/>
          <w:szCs w:val="20"/>
        </w:rPr>
      </w:pPr>
      <w:r w:rsidRPr="00CE1317">
        <w:rPr>
          <w:rFonts w:ascii="Arial" w:hAnsi="Arial" w:cs="Arial"/>
          <w:sz w:val="20"/>
          <w:szCs w:val="20"/>
        </w:rPr>
        <w:tab/>
        <w:t xml:space="preserve">  {NCCLS lists SAMPLE COLLECTION/HANDLING next}</w:t>
      </w:r>
    </w:p>
    <w:p w14:paraId="3DF47B11"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5)</w:t>
      </w:r>
      <w:r w:rsidRPr="00CE1317">
        <w:rPr>
          <w:rFonts w:ascii="Arial" w:hAnsi="Arial" w:cs="Arial"/>
          <w:sz w:val="20"/>
          <w:szCs w:val="20"/>
        </w:rPr>
        <w:tab/>
        <w:t>REAGENTS (name/concentration; warnings/precautions; preparation; storage; environment; Purification/treatment; indications of instability)</w:t>
      </w:r>
    </w:p>
    <w:p w14:paraId="67221683"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6)</w:t>
      </w:r>
      <w:r w:rsidRPr="00CE1317">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21C6898A" w14:textId="77777777" w:rsidR="00ED4385" w:rsidRPr="00CE1317" w:rsidRDefault="00ED4385" w:rsidP="00ED4385">
      <w:pPr>
        <w:rPr>
          <w:rFonts w:ascii="Arial" w:hAnsi="Arial" w:cs="Arial"/>
          <w:sz w:val="20"/>
          <w:szCs w:val="20"/>
        </w:rPr>
      </w:pPr>
      <w:r w:rsidRPr="00CE1317">
        <w:rPr>
          <w:rFonts w:ascii="Arial" w:hAnsi="Arial" w:cs="Arial"/>
          <w:sz w:val="20"/>
          <w:szCs w:val="20"/>
        </w:rPr>
        <w:t>7)</w:t>
      </w:r>
      <w:r w:rsidRPr="00CE1317">
        <w:rPr>
          <w:rFonts w:ascii="Arial" w:hAnsi="Arial" w:cs="Arial"/>
          <w:sz w:val="20"/>
          <w:szCs w:val="20"/>
        </w:rPr>
        <w:tab/>
        <w:t>SAMPLE COLLECTION/HANDLING</w:t>
      </w:r>
    </w:p>
    <w:p w14:paraId="589746D4" w14:textId="77777777" w:rsidR="00ED4385" w:rsidRPr="00CE1317" w:rsidRDefault="00ED4385" w:rsidP="00ED4385">
      <w:pPr>
        <w:rPr>
          <w:rFonts w:ascii="Arial" w:hAnsi="Arial" w:cs="Arial"/>
          <w:sz w:val="20"/>
          <w:szCs w:val="20"/>
        </w:rPr>
      </w:pPr>
      <w:r w:rsidRPr="00CE1317">
        <w:rPr>
          <w:rFonts w:ascii="Arial" w:hAnsi="Arial" w:cs="Arial"/>
          <w:sz w:val="20"/>
          <w:szCs w:val="20"/>
        </w:rPr>
        <w:t>8)</w:t>
      </w:r>
      <w:r w:rsidRPr="00CE1317">
        <w:rPr>
          <w:rFonts w:ascii="Arial" w:hAnsi="Arial" w:cs="Arial"/>
          <w:sz w:val="20"/>
          <w:szCs w:val="20"/>
        </w:rPr>
        <w:tab/>
        <w:t>PROCEDURE</w:t>
      </w:r>
    </w:p>
    <w:p w14:paraId="3E8508BC" w14:textId="77777777" w:rsidR="00ED4385" w:rsidRPr="00CE1317" w:rsidRDefault="00ED4385" w:rsidP="00ED4385">
      <w:pPr>
        <w:rPr>
          <w:rFonts w:ascii="Arial" w:hAnsi="Arial" w:cs="Arial"/>
          <w:sz w:val="20"/>
          <w:szCs w:val="20"/>
        </w:rPr>
      </w:pPr>
      <w:r w:rsidRPr="00CE1317">
        <w:rPr>
          <w:rFonts w:ascii="Arial" w:hAnsi="Arial" w:cs="Arial"/>
          <w:sz w:val="20"/>
          <w:szCs w:val="20"/>
        </w:rPr>
        <w:tab/>
        <w:t xml:space="preserve">  {NCCLS lists QUALITY CONTROL (QC) next}</w:t>
      </w:r>
    </w:p>
    <w:p w14:paraId="10ACE659" w14:textId="77777777" w:rsidR="00ED4385" w:rsidRPr="00CE1317" w:rsidRDefault="00ED4385" w:rsidP="00ED4385">
      <w:pPr>
        <w:rPr>
          <w:rFonts w:ascii="Arial" w:hAnsi="Arial" w:cs="Arial"/>
          <w:sz w:val="20"/>
          <w:szCs w:val="20"/>
        </w:rPr>
      </w:pPr>
      <w:r w:rsidRPr="00CE1317">
        <w:rPr>
          <w:rFonts w:ascii="Arial" w:hAnsi="Arial" w:cs="Arial"/>
          <w:sz w:val="20"/>
          <w:szCs w:val="20"/>
        </w:rPr>
        <w:t xml:space="preserve"> 9)  RESULTS (calculations, as applicable; etc.)</w:t>
      </w:r>
    </w:p>
    <w:p w14:paraId="540D93D6" w14:textId="77777777" w:rsidR="00ED4385" w:rsidRPr="00CE1317" w:rsidRDefault="00ED4385" w:rsidP="00ED4385">
      <w:pPr>
        <w:rPr>
          <w:rFonts w:ascii="Arial" w:hAnsi="Arial" w:cs="Arial"/>
          <w:sz w:val="20"/>
          <w:szCs w:val="20"/>
        </w:rPr>
      </w:pPr>
      <w:r w:rsidRPr="00CE1317">
        <w:rPr>
          <w:rFonts w:ascii="Arial" w:hAnsi="Arial" w:cs="Arial"/>
          <w:sz w:val="20"/>
          <w:szCs w:val="20"/>
        </w:rPr>
        <w:t>10)  LIMITATIONS/NOTES/INTERFERENCES</w:t>
      </w:r>
    </w:p>
    <w:p w14:paraId="27ED58BA" w14:textId="77777777" w:rsidR="00ED4385" w:rsidRPr="00CE1317" w:rsidRDefault="00ED4385" w:rsidP="00ED4385">
      <w:pPr>
        <w:rPr>
          <w:rFonts w:ascii="Arial" w:hAnsi="Arial" w:cs="Arial"/>
          <w:sz w:val="20"/>
          <w:szCs w:val="20"/>
        </w:rPr>
      </w:pPr>
      <w:r w:rsidRPr="00CE1317">
        <w:rPr>
          <w:rFonts w:ascii="Arial" w:hAnsi="Arial" w:cs="Arial"/>
          <w:sz w:val="20"/>
          <w:szCs w:val="20"/>
        </w:rPr>
        <w:t>11)  EXPECTED VALUES</w:t>
      </w:r>
    </w:p>
    <w:p w14:paraId="5771A532" w14:textId="77777777" w:rsidR="00ED4385" w:rsidRPr="00CE1317" w:rsidRDefault="00ED4385" w:rsidP="00ED4385">
      <w:pPr>
        <w:rPr>
          <w:rFonts w:ascii="Arial" w:hAnsi="Arial" w:cs="Arial"/>
          <w:sz w:val="20"/>
          <w:szCs w:val="20"/>
        </w:rPr>
      </w:pPr>
      <w:r w:rsidRPr="00CE1317">
        <w:rPr>
          <w:rFonts w:ascii="Arial" w:hAnsi="Arial" w:cs="Arial"/>
          <w:sz w:val="20"/>
          <w:szCs w:val="20"/>
        </w:rPr>
        <w:t>12)  PERFORMANCE CHARACTERISTCS</w:t>
      </w:r>
    </w:p>
    <w:p w14:paraId="3DDB4FE6" w14:textId="77777777" w:rsidR="00ED4385" w:rsidRPr="00CE1317" w:rsidRDefault="00ED4385" w:rsidP="00ED4385">
      <w:pPr>
        <w:rPr>
          <w:rFonts w:ascii="Arial" w:hAnsi="Arial" w:cs="Arial"/>
          <w:sz w:val="20"/>
          <w:szCs w:val="20"/>
        </w:rPr>
      </w:pPr>
      <w:r w:rsidRPr="00CE1317">
        <w:rPr>
          <w:rFonts w:ascii="Arial" w:hAnsi="Arial" w:cs="Arial"/>
          <w:sz w:val="20"/>
          <w:szCs w:val="20"/>
        </w:rPr>
        <w:t>13)  BIBLIOGRAPHY (of pertinent references)</w:t>
      </w:r>
    </w:p>
    <w:p w14:paraId="2194F124" w14:textId="77777777" w:rsidR="00ED4385" w:rsidRPr="00CE1317" w:rsidRDefault="00ED4385" w:rsidP="00ED4385">
      <w:pPr>
        <w:rPr>
          <w:rFonts w:ascii="Arial" w:hAnsi="Arial" w:cs="Arial"/>
          <w:sz w:val="20"/>
          <w:szCs w:val="20"/>
        </w:rPr>
      </w:pPr>
      <w:r w:rsidRPr="00CE1317">
        <w:rPr>
          <w:rFonts w:ascii="Arial" w:hAnsi="Arial" w:cs="Arial"/>
          <w:sz w:val="20"/>
          <w:szCs w:val="20"/>
        </w:rPr>
        <w:t>14)  NAME AND PLACE OF BUSINESS OF MANUFACTURER</w:t>
      </w:r>
    </w:p>
    <w:p w14:paraId="69F3A999" w14:textId="77777777" w:rsidR="00ED4385" w:rsidRPr="00CE1317" w:rsidRDefault="00ED4385" w:rsidP="00ED4385">
      <w:pPr>
        <w:rPr>
          <w:rFonts w:ascii="Arial" w:hAnsi="Arial" w:cs="Arial"/>
          <w:sz w:val="20"/>
          <w:szCs w:val="20"/>
        </w:rPr>
      </w:pPr>
      <w:r w:rsidRPr="00CE1317">
        <w:rPr>
          <w:rFonts w:ascii="Arial" w:hAnsi="Arial" w:cs="Arial"/>
          <w:sz w:val="20"/>
          <w:szCs w:val="20"/>
        </w:rPr>
        <w:t>15)  DATE OF ISSUANCE OF LABELING (instructions)</w:t>
      </w:r>
    </w:p>
    <w:p w14:paraId="43BE4346" w14:textId="77777777" w:rsidR="00ED4385" w:rsidRPr="00CE1317" w:rsidRDefault="00ED4385" w:rsidP="00ED4385">
      <w:pPr>
        <w:rPr>
          <w:rFonts w:ascii="Arial" w:hAnsi="Arial" w:cs="Arial"/>
          <w:sz w:val="20"/>
          <w:szCs w:val="20"/>
        </w:rPr>
      </w:pPr>
    </w:p>
    <w:p w14:paraId="7527B575" w14:textId="77777777" w:rsidR="00ED4385" w:rsidRPr="00CE1317" w:rsidRDefault="00ED4385" w:rsidP="00ED4385">
      <w:pPr>
        <w:jc w:val="center"/>
        <w:rPr>
          <w:rFonts w:ascii="Arial" w:hAnsi="Arial" w:cs="Arial"/>
          <w:sz w:val="20"/>
          <w:szCs w:val="20"/>
        </w:rPr>
      </w:pPr>
      <w:r w:rsidRPr="00CE1317">
        <w:rPr>
          <w:rFonts w:ascii="Arial" w:hAnsi="Arial" w:cs="Arial"/>
          <w:sz w:val="20"/>
          <w:szCs w:val="20"/>
        </w:rPr>
        <w:t xml:space="preserve">For Sales, Technical and Order Information, and Service Assistance, </w:t>
      </w:r>
      <w:r>
        <w:rPr>
          <w:rFonts w:ascii="MS Mincho" w:eastAsia="MS Mincho" w:hAnsi="MS Mincho" w:cs="MS Mincho"/>
          <w:sz w:val="20"/>
          <w:szCs w:val="20"/>
        </w:rPr>
        <w:br/>
      </w:r>
      <w:r w:rsidRPr="00CE1317">
        <w:rPr>
          <w:rFonts w:ascii="Arial" w:hAnsi="Arial" w:cs="Arial"/>
          <w:sz w:val="20"/>
          <w:szCs w:val="20"/>
        </w:rPr>
        <w:t>call Helena Laboratories toll free at 1-800-231-5663.</w:t>
      </w:r>
    </w:p>
    <w:p w14:paraId="0F695254" w14:textId="77777777" w:rsidR="00ED4385" w:rsidRPr="00CE1317" w:rsidRDefault="00ED4385" w:rsidP="00ED4385">
      <w:pPr>
        <w:rPr>
          <w:rFonts w:ascii="Arial" w:hAnsi="Arial" w:cs="Arial"/>
          <w:sz w:val="20"/>
          <w:szCs w:val="20"/>
        </w:rPr>
      </w:pPr>
    </w:p>
    <w:p w14:paraId="568807B4" w14:textId="77777777" w:rsidR="00ED4385" w:rsidRPr="00CE1317" w:rsidRDefault="00ED4385" w:rsidP="00ED4385">
      <w:pPr>
        <w:rPr>
          <w:rFonts w:ascii="Arial" w:hAnsi="Arial" w:cs="Arial"/>
          <w:sz w:val="20"/>
          <w:szCs w:val="20"/>
        </w:rPr>
      </w:pPr>
    </w:p>
    <w:p w14:paraId="3B9C5E28" w14:textId="77777777" w:rsidR="00ED4385" w:rsidRPr="00CE1317" w:rsidRDefault="00ED4385" w:rsidP="00ED4385">
      <w:pPr>
        <w:rPr>
          <w:rFonts w:ascii="Arial" w:hAnsi="Arial" w:cs="Arial"/>
          <w:sz w:val="20"/>
          <w:szCs w:val="20"/>
        </w:rPr>
      </w:pPr>
    </w:p>
    <w:p w14:paraId="78D4EF3B" w14:textId="77777777" w:rsidR="00ED4385" w:rsidRPr="00CE1317" w:rsidRDefault="00ED4385" w:rsidP="00ED4385">
      <w:pPr>
        <w:rPr>
          <w:rFonts w:ascii="Arial" w:hAnsi="Arial" w:cs="Arial"/>
          <w:sz w:val="20"/>
          <w:szCs w:val="20"/>
        </w:rPr>
      </w:pPr>
      <w:r w:rsidRPr="00CE1317">
        <w:rPr>
          <w:rFonts w:ascii="Arial" w:hAnsi="Arial" w:cs="Arial"/>
          <w:sz w:val="20"/>
          <w:szCs w:val="20"/>
        </w:rPr>
        <w:t>Form 364</w:t>
      </w:r>
    </w:p>
    <w:p w14:paraId="1BEAAE4F" w14:textId="77777777" w:rsidR="00ED4385" w:rsidRPr="00CE1317" w:rsidRDefault="00ED4385" w:rsidP="00ED4385">
      <w:pPr>
        <w:rPr>
          <w:rFonts w:ascii="Arial" w:hAnsi="Arial" w:cs="Arial"/>
          <w:sz w:val="20"/>
          <w:szCs w:val="20"/>
        </w:rPr>
      </w:pPr>
      <w:r w:rsidRPr="00CE1317">
        <w:rPr>
          <w:rFonts w:ascii="Arial" w:hAnsi="Arial" w:cs="Arial"/>
          <w:sz w:val="20"/>
          <w:szCs w:val="20"/>
        </w:rPr>
        <w:t>Helena Laboratories</w:t>
      </w:r>
    </w:p>
    <w:p w14:paraId="152DDA8D" w14:textId="77777777" w:rsidR="00ED4385" w:rsidRPr="00C522C5" w:rsidRDefault="00ED4385" w:rsidP="00ED4385">
      <w:pPr>
        <w:rPr>
          <w:rFonts w:ascii="Arial" w:hAnsi="Arial" w:cs="Arial"/>
        </w:rPr>
      </w:pPr>
      <w:r w:rsidRPr="00CE1317">
        <w:rPr>
          <w:rFonts w:ascii="Arial" w:hAnsi="Arial" w:cs="Arial"/>
          <w:sz w:val="20"/>
          <w:szCs w:val="20"/>
        </w:rPr>
        <w:t>1/2006 (Rev 3)</w:t>
      </w:r>
    </w:p>
    <w:p w14:paraId="1B262280" w14:textId="77777777" w:rsidR="005A50D8" w:rsidRDefault="00000000"/>
    <w:p w14:paraId="210642B9" w14:textId="77777777" w:rsidR="00ED4385" w:rsidRDefault="00ED4385"/>
    <w:p w14:paraId="083A6BDB" w14:textId="77777777" w:rsidR="00ED4385" w:rsidRDefault="00ED4385"/>
    <w:p w14:paraId="44487053" w14:textId="77777777" w:rsidR="00ED4385" w:rsidRDefault="00ED4385"/>
    <w:p w14:paraId="2A09E9BC" w14:textId="77777777" w:rsidR="00ED4385" w:rsidRDefault="00ED4385"/>
    <w:p w14:paraId="59589302" w14:textId="77777777" w:rsidR="00ED4385" w:rsidRDefault="00ED4385"/>
    <w:p w14:paraId="360C9908" w14:textId="77777777" w:rsidR="00ED4385" w:rsidRDefault="00ED4385"/>
    <w:p w14:paraId="1C579190" w14:textId="77777777" w:rsidR="00ED4385" w:rsidRDefault="00ED4385"/>
    <w:p w14:paraId="667809FE" w14:textId="77777777" w:rsidR="00ED4385" w:rsidRDefault="00ED4385"/>
    <w:p w14:paraId="26243675" w14:textId="77777777" w:rsidR="00ED4385" w:rsidRDefault="00ED4385"/>
    <w:p w14:paraId="5649F088" w14:textId="77777777" w:rsidR="00ED4385" w:rsidRDefault="00ED4385"/>
    <w:p w14:paraId="6D9D7CED" w14:textId="77777777" w:rsidR="00ED4385" w:rsidRDefault="00ED4385"/>
    <w:p w14:paraId="4DCE830A" w14:textId="77777777" w:rsidR="001830DD" w:rsidRDefault="001830DD" w:rsidP="001830DD">
      <w:pPr>
        <w:pStyle w:val="ProTitle"/>
        <w:jc w:val="left"/>
        <w:rPr>
          <w:rFonts w:asciiTheme="minorHAnsi" w:hAnsiTheme="minorHAnsi" w:cstheme="minorBidi"/>
          <w:b w:val="0"/>
          <w:bCs w:val="0"/>
          <w:color w:val="auto"/>
          <w:spacing w:val="0"/>
          <w:sz w:val="24"/>
          <w:szCs w:val="24"/>
        </w:rPr>
      </w:pPr>
    </w:p>
    <w:p w14:paraId="0685E2B0" w14:textId="77777777" w:rsidR="008E4030" w:rsidRDefault="008E4030" w:rsidP="001830DD">
      <w:pPr>
        <w:pStyle w:val="ProTitle"/>
        <w:jc w:val="left"/>
        <w:rPr>
          <w:rFonts w:ascii="Arial" w:hAnsi="Arial" w:cs="Arial"/>
        </w:rPr>
      </w:pPr>
    </w:p>
    <w:p w14:paraId="59563B6C" w14:textId="77777777" w:rsidR="008E4030" w:rsidRDefault="008E4030" w:rsidP="001830DD">
      <w:pPr>
        <w:pStyle w:val="ProTitle"/>
        <w:jc w:val="left"/>
        <w:rPr>
          <w:rFonts w:ascii="Arial" w:hAnsi="Arial" w:cs="Arial"/>
        </w:rPr>
      </w:pPr>
    </w:p>
    <w:p w14:paraId="5C3294FF" w14:textId="77777777" w:rsidR="008E4030" w:rsidRDefault="008E4030" w:rsidP="001830DD">
      <w:pPr>
        <w:pStyle w:val="ProTitle"/>
        <w:jc w:val="left"/>
        <w:rPr>
          <w:rFonts w:ascii="Arial" w:hAnsi="Arial" w:cs="Arial"/>
        </w:rPr>
      </w:pPr>
    </w:p>
    <w:p w14:paraId="1B8AD0A8" w14:textId="77777777" w:rsidR="008E4030" w:rsidRDefault="008E4030" w:rsidP="008E4030">
      <w:pPr>
        <w:pStyle w:val="ProTitle"/>
        <w:rPr>
          <w:rFonts w:ascii="Arial" w:hAnsi="Arial" w:cs="Arial"/>
          <w:sz w:val="13"/>
          <w:szCs w:val="13"/>
        </w:rPr>
      </w:pPr>
    </w:p>
    <w:p w14:paraId="37738497" w14:textId="77777777" w:rsidR="008E4030" w:rsidRPr="0076780A" w:rsidRDefault="008E4030" w:rsidP="008E4030">
      <w:pPr>
        <w:pStyle w:val="ProTitle"/>
        <w:rPr>
          <w:rFonts w:ascii="Arial" w:hAnsi="Arial" w:cs="Arial"/>
          <w:b w:val="0"/>
          <w:bCs w:val="0"/>
          <w:sz w:val="15"/>
          <w:szCs w:val="15"/>
        </w:rPr>
      </w:pPr>
      <w:r w:rsidRPr="0076780A">
        <w:rPr>
          <w:rFonts w:ascii="Arial" w:hAnsi="Arial" w:cs="Arial"/>
          <w:b w:val="0"/>
          <w:bCs w:val="0"/>
          <w:sz w:val="15"/>
          <w:szCs w:val="15"/>
        </w:rPr>
        <w:lastRenderedPageBreak/>
        <w:t>English</w:t>
      </w:r>
    </w:p>
    <w:p w14:paraId="65B25A3D" w14:textId="77777777" w:rsidR="008E4030" w:rsidRPr="008E4030" w:rsidRDefault="008E4030" w:rsidP="008E4030">
      <w:pPr>
        <w:pStyle w:val="ProTitle"/>
        <w:rPr>
          <w:rFonts w:ascii="Arial" w:hAnsi="Arial" w:cs="Arial"/>
        </w:rPr>
      </w:pPr>
      <w:r w:rsidRPr="008E4030">
        <w:rPr>
          <w:rFonts w:ascii="Arial" w:hAnsi="Arial" w:cs="Arial"/>
        </w:rPr>
        <w:t>Cascade</w:t>
      </w:r>
      <w:r w:rsidRPr="004776CF">
        <w:rPr>
          <w:rFonts w:ascii="Arial" w:hAnsi="Arial" w:cs="Arial"/>
          <w:vertAlign w:val="superscript"/>
        </w:rPr>
        <w:t>®</w:t>
      </w:r>
      <w:r w:rsidRPr="008E4030">
        <w:rPr>
          <w:rFonts w:ascii="Arial" w:hAnsi="Arial" w:cs="Arial"/>
        </w:rPr>
        <w:t xml:space="preserve"> Abrazo</w:t>
      </w:r>
      <w:r w:rsidRPr="004776CF">
        <w:rPr>
          <w:rFonts w:ascii="Arial" w:hAnsi="Arial" w:cs="Arial"/>
          <w:vertAlign w:val="superscript"/>
        </w:rPr>
        <w:t>®</w:t>
      </w:r>
    </w:p>
    <w:p w14:paraId="063CB7A5" w14:textId="290D0F7A" w:rsidR="008E4030" w:rsidRDefault="006B5367" w:rsidP="00DB16C6">
      <w:pPr>
        <w:pStyle w:val="ProTitle"/>
        <w:rPr>
          <w:rFonts w:ascii="Arial" w:hAnsi="Arial" w:cs="Arial"/>
        </w:rPr>
      </w:pPr>
      <w:r>
        <w:rPr>
          <w:rFonts w:ascii="Arial" w:hAnsi="Arial" w:cs="Arial"/>
          <w:noProof/>
        </w:rPr>
        <w:drawing>
          <wp:anchor distT="0" distB="0" distL="114300" distR="114300" simplePos="0" relativeHeight="251659264" behindDoc="1" locked="0" layoutInCell="1" allowOverlap="1" wp14:anchorId="55B76DD2" wp14:editId="78FCE4FB">
            <wp:simplePos x="0" y="0"/>
            <wp:positionH relativeFrom="column">
              <wp:posOffset>45720</wp:posOffset>
            </wp:positionH>
            <wp:positionV relativeFrom="paragraph">
              <wp:posOffset>346075</wp:posOffset>
            </wp:positionV>
            <wp:extent cx="6400800" cy="112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080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030">
        <w:rPr>
          <w:rFonts w:ascii="Arial" w:hAnsi="Arial" w:cs="Arial"/>
        </w:rPr>
        <w:tab/>
      </w:r>
      <w:r w:rsidR="008E4030">
        <w:rPr>
          <w:rFonts w:ascii="Arial" w:hAnsi="Arial" w:cs="Arial"/>
        </w:rPr>
        <w:tab/>
      </w:r>
      <w:r w:rsidR="008E4030">
        <w:rPr>
          <w:rFonts w:ascii="Arial" w:hAnsi="Arial" w:cs="Arial"/>
        </w:rPr>
        <w:tab/>
      </w:r>
      <w:r w:rsidR="00DB16C6">
        <w:rPr>
          <w:rFonts w:ascii="Arial" w:hAnsi="Arial" w:cs="Arial"/>
        </w:rPr>
        <w:t>c-ACT-LR Test Cards</w:t>
      </w:r>
    </w:p>
    <w:p w14:paraId="4978EDB9" w14:textId="77777777" w:rsidR="008E4030" w:rsidRDefault="008E4030" w:rsidP="001830DD"/>
    <w:p w14:paraId="3F44A048" w14:textId="77777777" w:rsidR="008E4030" w:rsidRPr="006B5367" w:rsidRDefault="008E4030" w:rsidP="006B5367">
      <w:pPr>
        <w:pStyle w:val="BodyCopy-6pt"/>
        <w:rPr>
          <w:rFonts w:ascii="ArialMTStd-Bold" w:hAnsi="ArialMTStd-Bold" w:cs="ArialMTStd-Bold"/>
          <w:b/>
          <w:bCs/>
          <w:spacing w:val="0"/>
          <w:sz w:val="18"/>
          <w:szCs w:val="18"/>
        </w:rPr>
      </w:pPr>
      <w:r w:rsidRPr="008E4030">
        <w:rPr>
          <w:noProof/>
        </w:rPr>
        <w:drawing>
          <wp:anchor distT="0" distB="0" distL="114300" distR="114300" simplePos="0" relativeHeight="251661312" behindDoc="0" locked="0" layoutInCell="1" allowOverlap="1" wp14:anchorId="59B35059" wp14:editId="4F1E5EBE">
            <wp:simplePos x="0" y="0"/>
            <wp:positionH relativeFrom="column">
              <wp:posOffset>51435</wp:posOffset>
            </wp:positionH>
            <wp:positionV relativeFrom="paragraph">
              <wp:posOffset>7620</wp:posOffset>
            </wp:positionV>
            <wp:extent cx="342900" cy="177800"/>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42900" cy="177800"/>
                    </a:xfrm>
                    <a:prstGeom prst="rect">
                      <a:avLst/>
                    </a:prstGeom>
                  </pic:spPr>
                </pic:pic>
              </a:graphicData>
            </a:graphic>
            <wp14:sizeRelH relativeFrom="page">
              <wp14:pctWidth>0</wp14:pctWidth>
            </wp14:sizeRelH>
            <wp14:sizeRelV relativeFrom="page">
              <wp14:pctHeight>0</wp14:pctHeight>
            </wp14:sizeRelV>
          </wp:anchor>
        </w:drawing>
      </w:r>
      <w:r w:rsidR="006B5367">
        <w:rPr>
          <w:rFonts w:ascii="ArialMTStd-Bold" w:hAnsi="ArialMTStd-Bold" w:cs="ArialMTStd-Bold"/>
          <w:b/>
          <w:bCs/>
          <w:sz w:val="18"/>
          <w:szCs w:val="18"/>
        </w:rPr>
        <w:t xml:space="preserve"> </w:t>
      </w:r>
      <w:r w:rsidR="006B5367" w:rsidRPr="006B5367">
        <w:rPr>
          <w:rFonts w:ascii="ArialMTStd-Bold" w:hAnsi="ArialMTStd-Bold" w:cs="ArialMTStd-Bold"/>
          <w:b/>
          <w:bCs/>
          <w:sz w:val="22"/>
          <w:szCs w:val="22"/>
        </w:rPr>
        <w:t xml:space="preserve">Cat. No. </w:t>
      </w:r>
      <w:r w:rsidR="006B5367" w:rsidRPr="006B5367">
        <w:rPr>
          <w:rFonts w:ascii="ArialMTStd-Bold" w:hAnsi="ArialMTStd-Bold" w:cs="ArialMTStd-Bold"/>
          <w:b/>
          <w:bCs/>
          <w:spacing w:val="0"/>
          <w:sz w:val="22"/>
          <w:szCs w:val="22"/>
        </w:rPr>
        <w:t>5701</w:t>
      </w:r>
    </w:p>
    <w:p w14:paraId="46C5CE56" w14:textId="77777777" w:rsidR="006B5367" w:rsidRDefault="006B5367" w:rsidP="001830DD">
      <w:r w:rsidRPr="008E4030">
        <w:rPr>
          <w:noProof/>
        </w:rPr>
        <w:drawing>
          <wp:anchor distT="0" distB="0" distL="114300" distR="114300" simplePos="0" relativeHeight="251660288" behindDoc="0" locked="0" layoutInCell="1" allowOverlap="1" wp14:anchorId="1490EA9F" wp14:editId="16858F62">
            <wp:simplePos x="0" y="0"/>
            <wp:positionH relativeFrom="column">
              <wp:posOffset>64135</wp:posOffset>
            </wp:positionH>
            <wp:positionV relativeFrom="paragraph">
              <wp:posOffset>104140</wp:posOffset>
            </wp:positionV>
            <wp:extent cx="330200" cy="2413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30200" cy="241300"/>
                    </a:xfrm>
                    <a:prstGeom prst="rect">
                      <a:avLst/>
                    </a:prstGeom>
                  </pic:spPr>
                </pic:pic>
              </a:graphicData>
            </a:graphic>
            <wp14:sizeRelH relativeFrom="page">
              <wp14:pctWidth>0</wp14:pctWidth>
            </wp14:sizeRelH>
            <wp14:sizeRelV relativeFrom="page">
              <wp14:pctHeight>0</wp14:pctHeight>
            </wp14:sizeRelV>
          </wp:anchor>
        </w:drawing>
      </w:r>
    </w:p>
    <w:p w14:paraId="2D898D77" w14:textId="77777777" w:rsidR="008E4030" w:rsidRDefault="008E4030" w:rsidP="001830DD"/>
    <w:p w14:paraId="426550A7" w14:textId="77777777" w:rsidR="00A35D34" w:rsidRPr="00A35D34" w:rsidRDefault="00A35D34" w:rsidP="00A35D34">
      <w:pPr>
        <w:autoSpaceDE w:val="0"/>
        <w:autoSpaceDN w:val="0"/>
        <w:adjustRightInd w:val="0"/>
        <w:spacing w:before="20" w:line="288" w:lineRule="auto"/>
        <w:textAlignment w:val="center"/>
        <w:rPr>
          <w:rFonts w:ascii="Arial" w:hAnsi="Arial" w:cs="Arial"/>
          <w:b/>
          <w:bCs/>
          <w:color w:val="000000"/>
          <w:sz w:val="14"/>
          <w:szCs w:val="14"/>
        </w:rPr>
      </w:pPr>
      <w:r w:rsidRPr="00A35D34">
        <w:rPr>
          <w:rFonts w:ascii="Arial" w:hAnsi="Arial" w:cs="Arial"/>
          <w:b/>
          <w:bCs/>
          <w:color w:val="000000"/>
          <w:sz w:val="14"/>
          <w:szCs w:val="14"/>
        </w:rPr>
        <w:t>Contents</w:t>
      </w:r>
    </w:p>
    <w:p w14:paraId="43D3E98A"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b/>
          <w:bCs/>
          <w:color w:val="000000"/>
          <w:spacing w:val="-1"/>
          <w:sz w:val="12"/>
          <w:szCs w:val="12"/>
        </w:rPr>
      </w:pPr>
      <w:r w:rsidRPr="00A35D34">
        <w:rPr>
          <w:rFonts w:ascii="Arial" w:hAnsi="Arial" w:cs="Arial"/>
          <w:b/>
          <w:bCs/>
          <w:color w:val="000000"/>
          <w:spacing w:val="-1"/>
          <w:sz w:val="12"/>
          <w:szCs w:val="12"/>
        </w:rPr>
        <w:t>50 c-ACT-LR test cards, individually sealed in foil pouches</w:t>
      </w:r>
    </w:p>
    <w:p w14:paraId="33B328ED" w14:textId="77777777" w:rsidR="00A35D34" w:rsidRPr="00A35D34" w:rsidRDefault="00A35D34" w:rsidP="00A35D34">
      <w:pPr>
        <w:autoSpaceDE w:val="0"/>
        <w:autoSpaceDN w:val="0"/>
        <w:adjustRightInd w:val="0"/>
        <w:spacing w:before="2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Intended Use</w:t>
      </w:r>
    </w:p>
    <w:p w14:paraId="7B35E51C"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The Cascade Abrazo c-ACT-LR test cards are activated clotting time tests to be used with the Cascade Abrazo analyzer and are intended to monitor the effect of low to moderate heparin on coagulation in fresh whole blood.</w:t>
      </w:r>
    </w:p>
    <w:p w14:paraId="5DA35B48"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The Abrazo c-ACT-LR test cards, together with the Abrazo analyzer, are especially suited for use by trained medical personnel in decentralized areas of testing near the site of patient care such as surgical suites, intensive care units, and other areas where patients are treated with low to moderate levels of heparin.</w:t>
      </w:r>
    </w:p>
    <w:p w14:paraId="5EF1B996" w14:textId="77777777" w:rsidR="00A35D34" w:rsidRPr="00A35D34" w:rsidRDefault="00A35D34" w:rsidP="00A35D34">
      <w:pPr>
        <w:autoSpaceDE w:val="0"/>
        <w:autoSpaceDN w:val="0"/>
        <w:adjustRightInd w:val="0"/>
        <w:spacing w:before="2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Summary</w:t>
      </w:r>
    </w:p>
    <w:p w14:paraId="7A69A6ED"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 xml:space="preserve">Heparin is currently the major intravenous drug used to control blood coagulation. It is used to control or prevent clotting in patients with thromboembolic diseases such as deep venous thrombosis and acute myocardial infarction. It is also used to maintain an anticoagulated state in patients undergoing percutaneous transluminal coronary angioplasty, coronary bypass surgery, and other invasive surgical procedures. Heparin is composed of a mixture of glycosaminoglycan molecules of various sizes, and it exists naturally in various body tissues. Heparin acts as an anticlotting agent by combining with Antithrombin (AT, previously Antithrombin III) in the blood to accelerate the rate of neutralization of various serine proteases (clotting factors), especially thrombin and </w:t>
      </w:r>
      <w:proofErr w:type="spellStart"/>
      <w:r w:rsidRPr="00A35D34">
        <w:rPr>
          <w:rFonts w:ascii="Arial" w:hAnsi="Arial" w:cs="Arial"/>
          <w:color w:val="000000"/>
          <w:spacing w:val="-1"/>
          <w:sz w:val="12"/>
          <w:szCs w:val="12"/>
        </w:rPr>
        <w:t>Xa</w:t>
      </w:r>
      <w:proofErr w:type="spellEnd"/>
      <w:r w:rsidRPr="00A35D34">
        <w:rPr>
          <w:rFonts w:ascii="Arial" w:hAnsi="Arial" w:cs="Arial"/>
          <w:color w:val="000000"/>
          <w:spacing w:val="-1"/>
          <w:sz w:val="12"/>
          <w:szCs w:val="12"/>
        </w:rPr>
        <w:t>, that participate in the coagulation cascade. Although it is widely used, heparin is responsible for more iatrogenic complications than any other drug. The major side effect is bleeding.</w:t>
      </w:r>
      <w:r w:rsidRPr="00A35D34">
        <w:rPr>
          <w:rFonts w:ascii="Arial" w:hAnsi="Arial" w:cs="Arial"/>
          <w:color w:val="000000"/>
          <w:spacing w:val="-1"/>
          <w:sz w:val="12"/>
          <w:szCs w:val="12"/>
          <w:vertAlign w:val="superscript"/>
        </w:rPr>
        <w:t>1</w:t>
      </w:r>
      <w:r w:rsidRPr="00A35D34">
        <w:rPr>
          <w:rFonts w:ascii="Arial" w:hAnsi="Arial" w:cs="Arial"/>
          <w:color w:val="000000"/>
          <w:spacing w:val="-1"/>
          <w:sz w:val="12"/>
          <w:szCs w:val="12"/>
        </w:rPr>
        <w:t xml:space="preserve"> For this reason</w:t>
      </w:r>
      <w:r w:rsidRPr="00A35D34">
        <w:rPr>
          <w:rFonts w:ascii="Arial" w:hAnsi="Arial" w:cs="Arial"/>
          <w:color w:val="000000"/>
          <w:spacing w:val="-1"/>
          <w:sz w:val="12"/>
          <w:szCs w:val="12"/>
          <w:vertAlign w:val="superscript"/>
        </w:rPr>
        <w:t xml:space="preserve"> </w:t>
      </w:r>
      <w:r w:rsidRPr="00A35D34">
        <w:rPr>
          <w:rFonts w:ascii="Arial" w:hAnsi="Arial" w:cs="Arial"/>
          <w:color w:val="000000"/>
          <w:spacing w:val="-1"/>
          <w:sz w:val="12"/>
          <w:szCs w:val="12"/>
        </w:rPr>
        <w:t>and because of the variability of patient response to the dose of heparin,</w:t>
      </w:r>
      <w:r w:rsidRPr="00A35D34">
        <w:rPr>
          <w:rFonts w:ascii="Arial" w:hAnsi="Arial" w:cs="Arial"/>
          <w:color w:val="000000"/>
          <w:spacing w:val="-1"/>
          <w:sz w:val="12"/>
          <w:szCs w:val="12"/>
          <w:vertAlign w:val="superscript"/>
        </w:rPr>
        <w:t>2,3</w:t>
      </w:r>
      <w:r w:rsidRPr="00A35D34">
        <w:rPr>
          <w:rFonts w:ascii="Arial" w:hAnsi="Arial" w:cs="Arial"/>
          <w:color w:val="000000"/>
          <w:spacing w:val="-1"/>
          <w:sz w:val="12"/>
          <w:szCs w:val="12"/>
        </w:rPr>
        <w:t xml:space="preserve"> many attempts have been made to develop and improve the monitoring of heparin therapy.</w:t>
      </w:r>
    </w:p>
    <w:p w14:paraId="4235C078"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z w:val="12"/>
          <w:szCs w:val="12"/>
        </w:rPr>
      </w:pPr>
      <w:r w:rsidRPr="00A35D34">
        <w:rPr>
          <w:rFonts w:ascii="Arial" w:hAnsi="Arial" w:cs="Arial"/>
          <w:color w:val="000000"/>
          <w:sz w:val="12"/>
          <w:szCs w:val="12"/>
        </w:rPr>
        <w:t>The c-ACT-LR test cards together with the Abrazo analyzer are intended for rapid monitoring of the effect of heparin levels up to 3.0 U/mL on coagulation. Precise pipetting of reagent or sample and manual timing skills are not a factor with the c-ACT-LR test card. Many of the variables encountered with sample transport and handling are avoided although testing of fresh whole blood must be done immediately to obtain accurate results.</w:t>
      </w:r>
    </w:p>
    <w:p w14:paraId="23258480" w14:textId="77777777" w:rsidR="00A35D34" w:rsidRPr="00A35D34" w:rsidRDefault="00A35D34" w:rsidP="00A35D34">
      <w:pPr>
        <w:autoSpaceDE w:val="0"/>
        <w:autoSpaceDN w:val="0"/>
        <w:adjustRightInd w:val="0"/>
        <w:spacing w:before="2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Principle</w:t>
      </w:r>
    </w:p>
    <w:p w14:paraId="7158F239"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The Cascade Abrazo c-ACT-LR test consists of the contact activation of whole blood with the subsequent measurement of the time for clot formation.</w:t>
      </w:r>
    </w:p>
    <w:p w14:paraId="7C5158BC"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The c-ACT-LR test may be used as a sensitive means of monitoring the effect of heparin on clotting in whole blood samples. Generally, in the presence of adequate levels of Antithrombin and clotting factors, increasing heparin concentration results in progressive prolongation of the c-ACT-LR result.</w:t>
      </w:r>
    </w:p>
    <w:p w14:paraId="57C61104" w14:textId="77777777" w:rsidR="00A35D34" w:rsidRPr="00A35D34" w:rsidRDefault="00A35D34" w:rsidP="00A35D34">
      <w:pPr>
        <w:autoSpaceDE w:val="0"/>
        <w:autoSpaceDN w:val="0"/>
        <w:adjustRightInd w:val="0"/>
        <w:spacing w:before="20" w:line="288" w:lineRule="auto"/>
        <w:textAlignment w:val="center"/>
        <w:rPr>
          <w:rFonts w:ascii="Arial" w:hAnsi="Arial" w:cs="Arial"/>
          <w:caps/>
          <w:color w:val="000000"/>
          <w:sz w:val="14"/>
          <w:szCs w:val="14"/>
        </w:rPr>
      </w:pPr>
      <w:r w:rsidRPr="00A35D34">
        <w:rPr>
          <w:rFonts w:ascii="Arial" w:hAnsi="Arial" w:cs="Arial"/>
          <w:caps/>
          <w:color w:val="000000"/>
          <w:sz w:val="14"/>
          <w:szCs w:val="14"/>
        </w:rPr>
        <w:t>Reagent</w:t>
      </w:r>
    </w:p>
    <w:p w14:paraId="6487B5DF"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For in vitro diagnostic use only.</w:t>
      </w:r>
    </w:p>
    <w:p w14:paraId="455909AC" w14:textId="77777777" w:rsidR="00A35D34" w:rsidRPr="00A35D34" w:rsidRDefault="00A35D34" w:rsidP="00A35D34">
      <w:pPr>
        <w:pBdr>
          <w:bottom w:val="single" w:sz="8" w:space="1" w:color="000000"/>
        </w:pBdr>
        <w:tabs>
          <w:tab w:val="left" w:pos="1720"/>
          <w:tab w:val="left" w:pos="2780"/>
        </w:tabs>
        <w:suppressAutoHyphens/>
        <w:autoSpaceDE w:val="0"/>
        <w:autoSpaceDN w:val="0"/>
        <w:adjustRightInd w:val="0"/>
        <w:spacing w:before="20" w:after="20" w:line="288" w:lineRule="auto"/>
        <w:jc w:val="both"/>
        <w:textAlignment w:val="center"/>
        <w:rPr>
          <w:rFonts w:ascii="Arial" w:hAnsi="Arial" w:cs="Arial"/>
          <w:color w:val="000000"/>
          <w:spacing w:val="-1"/>
          <w:sz w:val="12"/>
          <w:szCs w:val="12"/>
        </w:rPr>
      </w:pPr>
      <w:r w:rsidRPr="00A35D34">
        <w:rPr>
          <w:rFonts w:ascii="Arial" w:hAnsi="Arial" w:cs="Arial"/>
          <w:b/>
          <w:bCs/>
          <w:color w:val="000000"/>
          <w:spacing w:val="-1"/>
          <w:sz w:val="12"/>
          <w:szCs w:val="12"/>
        </w:rPr>
        <w:t>Components</w:t>
      </w:r>
      <w:r w:rsidRPr="00A35D34">
        <w:rPr>
          <w:rFonts w:ascii="Arial" w:hAnsi="Arial" w:cs="Arial"/>
          <w:b/>
          <w:bCs/>
          <w:color w:val="000000"/>
          <w:spacing w:val="-1"/>
          <w:sz w:val="12"/>
          <w:szCs w:val="12"/>
        </w:rPr>
        <w:tab/>
        <w:t>Storage</w:t>
      </w:r>
      <w:r w:rsidRPr="00A35D34">
        <w:rPr>
          <w:rFonts w:ascii="Arial" w:hAnsi="Arial" w:cs="Arial"/>
          <w:b/>
          <w:bCs/>
          <w:color w:val="000000"/>
          <w:spacing w:val="-1"/>
          <w:sz w:val="12"/>
          <w:szCs w:val="12"/>
        </w:rPr>
        <w:tab/>
        <w:t>Stability</w:t>
      </w:r>
    </w:p>
    <w:p w14:paraId="03D4E747" w14:textId="77777777" w:rsidR="00A35D34" w:rsidRPr="00A35D34" w:rsidRDefault="00A35D34" w:rsidP="00A35D34">
      <w:pPr>
        <w:tabs>
          <w:tab w:val="decimal" w:pos="180"/>
          <w:tab w:val="left" w:pos="280"/>
          <w:tab w:val="left" w:pos="320"/>
          <w:tab w:val="left" w:pos="460"/>
          <w:tab w:val="left" w:pos="1720"/>
          <w:tab w:val="left" w:pos="2780"/>
        </w:tabs>
        <w:suppressAutoHyphens/>
        <w:autoSpaceDE w:val="0"/>
        <w:autoSpaceDN w:val="0"/>
        <w:adjustRightInd w:val="0"/>
        <w:spacing w:line="288" w:lineRule="auto"/>
        <w:jc w:val="both"/>
        <w:textAlignment w:val="center"/>
        <w:rPr>
          <w:rFonts w:ascii="Arial" w:hAnsi="Arial" w:cs="Arial"/>
          <w:color w:val="000000"/>
          <w:sz w:val="12"/>
          <w:szCs w:val="12"/>
        </w:rPr>
      </w:pPr>
      <w:r w:rsidRPr="00A35D34">
        <w:rPr>
          <w:rFonts w:ascii="Arial" w:hAnsi="Arial" w:cs="Arial"/>
          <w:color w:val="000000"/>
          <w:sz w:val="12"/>
          <w:szCs w:val="12"/>
        </w:rPr>
        <w:t xml:space="preserve">Calcium chloride, celite, </w:t>
      </w:r>
      <w:r w:rsidRPr="00A35D34">
        <w:rPr>
          <w:rFonts w:ascii="Arial" w:hAnsi="Arial" w:cs="Arial"/>
          <w:color w:val="000000"/>
          <w:sz w:val="12"/>
          <w:szCs w:val="12"/>
        </w:rPr>
        <w:tab/>
        <w:t>2–8°C (36–46°F)</w:t>
      </w:r>
      <w:r w:rsidRPr="00A35D34">
        <w:rPr>
          <w:rFonts w:ascii="Arial" w:hAnsi="Arial" w:cs="Arial"/>
          <w:color w:val="000000"/>
          <w:sz w:val="12"/>
          <w:szCs w:val="12"/>
        </w:rPr>
        <w:tab/>
        <w:t>Unopened – until expiration date</w:t>
      </w:r>
    </w:p>
    <w:p w14:paraId="19B92F77" w14:textId="77777777" w:rsidR="00A35D34" w:rsidRPr="00A35D34" w:rsidRDefault="00A35D34" w:rsidP="00A35D34">
      <w:pPr>
        <w:tabs>
          <w:tab w:val="decimal" w:pos="180"/>
          <w:tab w:val="left" w:pos="280"/>
          <w:tab w:val="left" w:pos="320"/>
          <w:tab w:val="left" w:pos="460"/>
          <w:tab w:val="left" w:pos="1720"/>
          <w:tab w:val="left" w:pos="2780"/>
        </w:tabs>
        <w:suppressAutoHyphens/>
        <w:autoSpaceDE w:val="0"/>
        <w:autoSpaceDN w:val="0"/>
        <w:adjustRightInd w:val="0"/>
        <w:spacing w:line="288" w:lineRule="auto"/>
        <w:jc w:val="both"/>
        <w:textAlignment w:val="center"/>
        <w:rPr>
          <w:rFonts w:ascii="Arial" w:hAnsi="Arial" w:cs="Arial"/>
          <w:color w:val="000000"/>
          <w:sz w:val="12"/>
          <w:szCs w:val="12"/>
        </w:rPr>
      </w:pPr>
      <w:r w:rsidRPr="00A35D34">
        <w:rPr>
          <w:rFonts w:ascii="Arial" w:hAnsi="Arial" w:cs="Arial"/>
          <w:color w:val="000000"/>
          <w:spacing w:val="-1"/>
          <w:sz w:val="12"/>
          <w:szCs w:val="12"/>
        </w:rPr>
        <w:t>ellagic acid</w:t>
      </w:r>
      <w:r w:rsidRPr="00A35D34">
        <w:rPr>
          <w:rFonts w:ascii="Arial" w:hAnsi="Arial" w:cs="Arial"/>
          <w:color w:val="000000"/>
          <w:sz w:val="12"/>
          <w:szCs w:val="12"/>
        </w:rPr>
        <w:t xml:space="preserve"> activator, modifiers,</w:t>
      </w:r>
      <w:r w:rsidRPr="00A35D34">
        <w:rPr>
          <w:rFonts w:ascii="Arial" w:hAnsi="Arial" w:cs="Arial"/>
          <w:color w:val="000000"/>
          <w:sz w:val="12"/>
          <w:szCs w:val="12"/>
        </w:rPr>
        <w:tab/>
      </w:r>
      <w:r w:rsidRPr="00A35D34">
        <w:rPr>
          <w:rFonts w:ascii="Arial" w:hAnsi="Arial" w:cs="Arial"/>
          <w:color w:val="000000"/>
          <w:sz w:val="12"/>
          <w:szCs w:val="12"/>
        </w:rPr>
        <w:tab/>
        <w:t>on the pouch label</w:t>
      </w:r>
    </w:p>
    <w:p w14:paraId="705EA332" w14:textId="77777777" w:rsidR="00A35D34" w:rsidRPr="00A35D34" w:rsidRDefault="00A35D34" w:rsidP="00A35D34">
      <w:pPr>
        <w:tabs>
          <w:tab w:val="decimal" w:pos="180"/>
          <w:tab w:val="left" w:pos="280"/>
          <w:tab w:val="left" w:pos="320"/>
          <w:tab w:val="left" w:pos="460"/>
          <w:tab w:val="left" w:pos="1720"/>
          <w:tab w:val="left" w:pos="2780"/>
        </w:tabs>
        <w:suppressAutoHyphens/>
        <w:autoSpaceDE w:val="0"/>
        <w:autoSpaceDN w:val="0"/>
        <w:adjustRightInd w:val="0"/>
        <w:spacing w:line="288" w:lineRule="auto"/>
        <w:jc w:val="both"/>
        <w:textAlignment w:val="center"/>
        <w:rPr>
          <w:rFonts w:ascii="Arial" w:hAnsi="Arial" w:cs="Arial"/>
          <w:color w:val="000000"/>
          <w:sz w:val="12"/>
          <w:szCs w:val="12"/>
        </w:rPr>
      </w:pPr>
      <w:r w:rsidRPr="00A35D34">
        <w:rPr>
          <w:rFonts w:ascii="Arial" w:hAnsi="Arial" w:cs="Arial"/>
          <w:color w:val="000000"/>
          <w:spacing w:val="-1"/>
          <w:sz w:val="12"/>
          <w:szCs w:val="12"/>
        </w:rPr>
        <w:t>phospholipid,</w:t>
      </w:r>
      <w:r w:rsidRPr="00A35D34">
        <w:rPr>
          <w:rFonts w:ascii="Arial" w:hAnsi="Arial" w:cs="Arial"/>
          <w:color w:val="000000"/>
          <w:sz w:val="12"/>
          <w:szCs w:val="12"/>
        </w:rPr>
        <w:t xml:space="preserve"> stabilizers, and</w:t>
      </w:r>
      <w:r w:rsidRPr="00A35D34">
        <w:rPr>
          <w:rFonts w:ascii="Arial" w:hAnsi="Arial" w:cs="Arial"/>
          <w:color w:val="000000"/>
          <w:sz w:val="12"/>
          <w:szCs w:val="12"/>
        </w:rPr>
        <w:tab/>
      </w:r>
      <w:r w:rsidRPr="00A35D34">
        <w:rPr>
          <w:rFonts w:ascii="Arial" w:hAnsi="Arial" w:cs="Arial"/>
          <w:color w:val="000000"/>
          <w:sz w:val="12"/>
          <w:szCs w:val="12"/>
        </w:rPr>
        <w:tab/>
        <w:t>or</w:t>
      </w:r>
    </w:p>
    <w:p w14:paraId="79A7B37D" w14:textId="77777777" w:rsidR="00A35D34" w:rsidRPr="00A35D34" w:rsidRDefault="00A35D34" w:rsidP="00A35D34">
      <w:pPr>
        <w:pBdr>
          <w:bottom w:val="single" w:sz="8" w:space="1" w:color="000000"/>
        </w:pBdr>
        <w:tabs>
          <w:tab w:val="decimal" w:pos="180"/>
          <w:tab w:val="left" w:pos="280"/>
          <w:tab w:val="left" w:pos="320"/>
          <w:tab w:val="left" w:pos="460"/>
          <w:tab w:val="left" w:pos="1720"/>
          <w:tab w:val="left" w:pos="2780"/>
        </w:tabs>
        <w:suppressAutoHyphens/>
        <w:autoSpaceDE w:val="0"/>
        <w:autoSpaceDN w:val="0"/>
        <w:adjustRightInd w:val="0"/>
        <w:spacing w:line="288" w:lineRule="auto"/>
        <w:jc w:val="both"/>
        <w:textAlignment w:val="center"/>
        <w:rPr>
          <w:rFonts w:ascii="Arial" w:hAnsi="Arial" w:cs="Arial"/>
          <w:color w:val="000000"/>
          <w:sz w:val="12"/>
          <w:szCs w:val="12"/>
        </w:rPr>
      </w:pPr>
      <w:r w:rsidRPr="00A35D34">
        <w:rPr>
          <w:rFonts w:ascii="Arial" w:hAnsi="Arial" w:cs="Arial"/>
          <w:color w:val="000000"/>
          <w:sz w:val="12"/>
          <w:szCs w:val="12"/>
        </w:rPr>
        <w:t>paramagnetic iron oxide particles</w:t>
      </w:r>
      <w:r w:rsidRPr="00A35D34">
        <w:rPr>
          <w:rFonts w:ascii="Arial" w:hAnsi="Arial" w:cs="Arial"/>
          <w:color w:val="000000"/>
          <w:sz w:val="12"/>
          <w:szCs w:val="12"/>
        </w:rPr>
        <w:tab/>
        <w:t>20–25°C (68–77°F)</w:t>
      </w:r>
      <w:r w:rsidRPr="00A35D34">
        <w:rPr>
          <w:rFonts w:ascii="Arial" w:hAnsi="Arial" w:cs="Arial"/>
          <w:color w:val="000000"/>
          <w:sz w:val="12"/>
          <w:szCs w:val="12"/>
        </w:rPr>
        <w:tab/>
        <w:t>Unopened – 2 weeks</w:t>
      </w:r>
    </w:p>
    <w:p w14:paraId="319DCC34"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 xml:space="preserve">Any pouches not kept refrigerated should be dated and used within 2 weeks. </w:t>
      </w:r>
    </w:p>
    <w:p w14:paraId="0DAFC23B" w14:textId="77777777" w:rsidR="00A35D34" w:rsidRPr="00A35D34" w:rsidRDefault="00A35D34" w:rsidP="00A35D34">
      <w:pPr>
        <w:tabs>
          <w:tab w:val="left" w:pos="200"/>
        </w:tabs>
        <w:suppressAutoHyphens/>
        <w:autoSpaceDE w:val="0"/>
        <w:autoSpaceDN w:val="0"/>
        <w:adjustRightInd w:val="0"/>
        <w:spacing w:before="20" w:line="288" w:lineRule="auto"/>
        <w:jc w:val="both"/>
        <w:textAlignment w:val="center"/>
        <w:rPr>
          <w:rFonts w:ascii="Arial" w:hAnsi="Arial" w:cs="Arial"/>
          <w:strike/>
          <w:color w:val="000000"/>
          <w:spacing w:val="-1"/>
          <w:sz w:val="12"/>
          <w:szCs w:val="12"/>
        </w:rPr>
      </w:pPr>
      <w:r w:rsidRPr="00A35D34">
        <w:rPr>
          <w:rFonts w:ascii="Arial" w:hAnsi="Arial" w:cs="Arial"/>
          <w:b/>
          <w:bCs/>
          <w:color w:val="000000"/>
          <w:spacing w:val="-1"/>
          <w:sz w:val="12"/>
          <w:szCs w:val="12"/>
        </w:rPr>
        <w:t xml:space="preserve">CAUTION: </w:t>
      </w:r>
      <w:r w:rsidRPr="00A35D34">
        <w:rPr>
          <w:rFonts w:ascii="Arial" w:hAnsi="Arial" w:cs="Arial"/>
          <w:color w:val="000000"/>
          <w:spacing w:val="-1"/>
          <w:sz w:val="12"/>
          <w:szCs w:val="12"/>
        </w:rPr>
        <w:t>Exposure of the test cards at any time to magnetic objects or fields (for example, an MRI instrument) can potentially prevent the analyzer from performing the test properly.</w:t>
      </w:r>
    </w:p>
    <w:p w14:paraId="2ABB1505" w14:textId="77777777" w:rsidR="00A35D34" w:rsidRPr="00A35D34" w:rsidRDefault="00A35D34" w:rsidP="00A35D34">
      <w:pPr>
        <w:autoSpaceDE w:val="0"/>
        <w:autoSpaceDN w:val="0"/>
        <w:adjustRightInd w:val="0"/>
        <w:spacing w:before="2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Specimen Collection and Preparation</w:t>
      </w:r>
    </w:p>
    <w:p w14:paraId="66223482"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vertAlign w:val="superscript"/>
        </w:rPr>
      </w:pPr>
      <w:r w:rsidRPr="00A35D34">
        <w:rPr>
          <w:rFonts w:ascii="Arial" w:hAnsi="Arial" w:cs="Arial"/>
          <w:b/>
          <w:bCs/>
          <w:color w:val="000000"/>
          <w:spacing w:val="-1"/>
          <w:sz w:val="12"/>
          <w:szCs w:val="12"/>
        </w:rPr>
        <w:t>The c-ACT-LR test cards may be used with fresh whole blood collected according to CLSI Guidelines H03-A6</w:t>
      </w:r>
      <w:r w:rsidRPr="00A35D34">
        <w:rPr>
          <w:rFonts w:ascii="Arial" w:hAnsi="Arial" w:cs="Arial"/>
          <w:color w:val="000000"/>
          <w:spacing w:val="-1"/>
          <w:sz w:val="12"/>
          <w:szCs w:val="12"/>
          <w:vertAlign w:val="superscript"/>
        </w:rPr>
        <w:t>4</w:t>
      </w:r>
      <w:r w:rsidRPr="00A35D34">
        <w:rPr>
          <w:rFonts w:ascii="Arial" w:hAnsi="Arial" w:cs="Arial"/>
          <w:color w:val="000000"/>
          <w:spacing w:val="-1"/>
          <w:sz w:val="12"/>
          <w:szCs w:val="12"/>
        </w:rPr>
        <w:t xml:space="preserve"> and H11-A4</w:t>
      </w:r>
      <w:r w:rsidRPr="00A35D34">
        <w:rPr>
          <w:rFonts w:ascii="Arial" w:hAnsi="Arial" w:cs="Arial"/>
          <w:color w:val="000000"/>
          <w:spacing w:val="-1"/>
          <w:sz w:val="12"/>
          <w:szCs w:val="12"/>
          <w:vertAlign w:val="superscript"/>
        </w:rPr>
        <w:t>5</w:t>
      </w:r>
      <w:r w:rsidRPr="00A35D34">
        <w:rPr>
          <w:rFonts w:ascii="Arial" w:hAnsi="Arial" w:cs="Arial"/>
          <w:color w:val="000000"/>
          <w:spacing w:val="-1"/>
          <w:sz w:val="12"/>
          <w:szCs w:val="12"/>
        </w:rPr>
        <w:t xml:space="preserve">. For indwelling catheters, the line should be flushed with 5 mL saline; separate, single-use syringes should be used to collect at least 5 mL or 6 dead space volumes of blood (to be discarded) prior to collection of blood specimens for testing, to minimize effects of hemodilution (e.g., crystalloid fluid in line) or heparin in solutions used for flushing indwelling lines. Institutional </w:t>
      </w:r>
      <w:proofErr w:type="spellStart"/>
      <w:r w:rsidRPr="00A35D34">
        <w:rPr>
          <w:rFonts w:ascii="Arial" w:hAnsi="Arial" w:cs="Arial"/>
          <w:color w:val="000000"/>
          <w:spacing w:val="-1"/>
          <w:sz w:val="12"/>
          <w:szCs w:val="12"/>
        </w:rPr>
        <w:t>polices</w:t>
      </w:r>
      <w:proofErr w:type="spellEnd"/>
      <w:r w:rsidRPr="00A35D34">
        <w:rPr>
          <w:rFonts w:ascii="Arial" w:hAnsi="Arial" w:cs="Arial"/>
          <w:color w:val="000000"/>
          <w:spacing w:val="-1"/>
          <w:sz w:val="12"/>
          <w:szCs w:val="12"/>
        </w:rPr>
        <w:t xml:space="preserve"> and procedures should be followed.</w:t>
      </w:r>
      <w:proofErr w:type="gramStart"/>
      <w:r w:rsidRPr="00A35D34">
        <w:rPr>
          <w:rFonts w:ascii="Arial" w:hAnsi="Arial" w:cs="Arial"/>
          <w:color w:val="000000"/>
          <w:spacing w:val="-1"/>
          <w:sz w:val="12"/>
          <w:szCs w:val="12"/>
          <w:vertAlign w:val="superscript"/>
        </w:rPr>
        <w:t xml:space="preserve">6  </w:t>
      </w:r>
      <w:r w:rsidRPr="00A35D34">
        <w:rPr>
          <w:rFonts w:ascii="Arial" w:hAnsi="Arial" w:cs="Arial"/>
          <w:color w:val="000000"/>
          <w:spacing w:val="-1"/>
          <w:sz w:val="12"/>
          <w:szCs w:val="12"/>
        </w:rPr>
        <w:t>Fresh</w:t>
      </w:r>
      <w:proofErr w:type="gramEnd"/>
      <w:r w:rsidRPr="00A35D34">
        <w:rPr>
          <w:rFonts w:ascii="Arial" w:hAnsi="Arial" w:cs="Arial"/>
          <w:color w:val="000000"/>
          <w:spacing w:val="-1"/>
          <w:sz w:val="12"/>
          <w:szCs w:val="12"/>
        </w:rPr>
        <w:t xml:space="preserve"> whole blood collected into a plastic syringe should be used immediately.</w:t>
      </w:r>
      <w:r w:rsidRPr="00A35D34">
        <w:rPr>
          <w:rFonts w:ascii="Arial" w:hAnsi="Arial" w:cs="Arial"/>
          <w:color w:val="000000"/>
          <w:spacing w:val="-1"/>
          <w:sz w:val="12"/>
          <w:szCs w:val="12"/>
          <w:vertAlign w:val="superscript"/>
        </w:rPr>
        <w:t>6</w:t>
      </w:r>
    </w:p>
    <w:p w14:paraId="49455B4F" w14:textId="77777777" w:rsidR="00A35D34" w:rsidRPr="00A35D34" w:rsidRDefault="00A35D34" w:rsidP="00A35D34">
      <w:pPr>
        <w:tabs>
          <w:tab w:val="left" w:pos="200"/>
        </w:tabs>
        <w:suppressAutoHyphens/>
        <w:autoSpaceDE w:val="0"/>
        <w:autoSpaceDN w:val="0"/>
        <w:adjustRightInd w:val="0"/>
        <w:spacing w:before="20" w:line="288" w:lineRule="auto"/>
        <w:jc w:val="both"/>
        <w:textAlignment w:val="center"/>
        <w:rPr>
          <w:rFonts w:ascii="Arial" w:hAnsi="Arial" w:cs="Arial"/>
          <w:color w:val="000000"/>
          <w:spacing w:val="-1"/>
          <w:sz w:val="12"/>
          <w:szCs w:val="12"/>
        </w:rPr>
      </w:pPr>
      <w:r w:rsidRPr="00A35D34">
        <w:rPr>
          <w:rFonts w:ascii="Arial" w:hAnsi="Arial" w:cs="Arial"/>
          <w:b/>
          <w:bCs/>
          <w:color w:val="000000"/>
          <w:spacing w:val="-1"/>
          <w:sz w:val="12"/>
          <w:szCs w:val="12"/>
        </w:rPr>
        <w:t xml:space="preserve">CAUTION: </w:t>
      </w:r>
      <w:r w:rsidRPr="00A35D34">
        <w:rPr>
          <w:rFonts w:ascii="Arial" w:hAnsi="Arial" w:cs="Arial"/>
          <w:color w:val="000000"/>
          <w:spacing w:val="-1"/>
          <w:sz w:val="12"/>
          <w:szCs w:val="12"/>
        </w:rPr>
        <w:t>Heparinized syringes are not appropriate vehicles for the c-ACT-LR Test.</w:t>
      </w:r>
    </w:p>
    <w:p w14:paraId="04CCB7C0" w14:textId="77777777" w:rsidR="00A35D34" w:rsidRPr="00A35D34" w:rsidRDefault="00A35D34" w:rsidP="00A35D34">
      <w:pPr>
        <w:tabs>
          <w:tab w:val="left" w:pos="200"/>
        </w:tabs>
        <w:suppressAutoHyphens/>
        <w:autoSpaceDE w:val="0"/>
        <w:autoSpaceDN w:val="0"/>
        <w:adjustRightInd w:val="0"/>
        <w:spacing w:before="20" w:line="288" w:lineRule="auto"/>
        <w:jc w:val="both"/>
        <w:textAlignment w:val="center"/>
        <w:rPr>
          <w:rFonts w:ascii="Arial" w:hAnsi="Arial" w:cs="Arial"/>
          <w:color w:val="000000"/>
          <w:spacing w:val="-1"/>
          <w:sz w:val="12"/>
          <w:szCs w:val="12"/>
        </w:rPr>
      </w:pPr>
      <w:r w:rsidRPr="00A35D34">
        <w:rPr>
          <w:rFonts w:ascii="Arial" w:hAnsi="Arial" w:cs="Arial"/>
          <w:b/>
          <w:bCs/>
          <w:color w:val="000000"/>
          <w:spacing w:val="-1"/>
          <w:sz w:val="12"/>
          <w:szCs w:val="12"/>
        </w:rPr>
        <w:t xml:space="preserve">CAUTION: </w:t>
      </w:r>
      <w:r w:rsidRPr="00A35D34">
        <w:rPr>
          <w:rFonts w:ascii="Arial" w:hAnsi="Arial" w:cs="Arial"/>
          <w:color w:val="000000"/>
          <w:spacing w:val="-1"/>
          <w:sz w:val="12"/>
          <w:szCs w:val="12"/>
        </w:rPr>
        <w:t>When handling blood specimens, all samples should be treated as biohazards.</w:t>
      </w:r>
      <w:r w:rsidRPr="00A35D34">
        <w:rPr>
          <w:rFonts w:ascii="Arial" w:hAnsi="Arial" w:cs="Arial"/>
          <w:color w:val="000000"/>
          <w:spacing w:val="-1"/>
          <w:sz w:val="12"/>
          <w:szCs w:val="12"/>
          <w:vertAlign w:val="superscript"/>
        </w:rPr>
        <w:t>8,9</w:t>
      </w:r>
    </w:p>
    <w:p w14:paraId="3CB1F041" w14:textId="77777777" w:rsidR="00A35D34" w:rsidRPr="00A35D34" w:rsidRDefault="00A35D34" w:rsidP="00A35D34">
      <w:pPr>
        <w:autoSpaceDE w:val="0"/>
        <w:autoSpaceDN w:val="0"/>
        <w:adjustRightInd w:val="0"/>
        <w:spacing w:before="2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Procedure</w:t>
      </w:r>
    </w:p>
    <w:p w14:paraId="115ACD99" w14:textId="77777777" w:rsidR="00A35D34" w:rsidRPr="00A35D34" w:rsidRDefault="00A35D34" w:rsidP="00A35D34">
      <w:pPr>
        <w:suppressAutoHyphens/>
        <w:autoSpaceDE w:val="0"/>
        <w:autoSpaceDN w:val="0"/>
        <w:adjustRightInd w:val="0"/>
        <w:spacing w:before="20" w:line="288" w:lineRule="auto"/>
        <w:jc w:val="both"/>
        <w:textAlignment w:val="center"/>
        <w:rPr>
          <w:rFonts w:ascii="Arial" w:hAnsi="Arial" w:cs="Arial"/>
          <w:color w:val="000000"/>
          <w:sz w:val="12"/>
          <w:szCs w:val="12"/>
        </w:rPr>
      </w:pPr>
      <w:r w:rsidRPr="00A35D34">
        <w:rPr>
          <w:rFonts w:ascii="Arial" w:hAnsi="Arial" w:cs="Arial"/>
          <w:b/>
          <w:bCs/>
          <w:color w:val="000000"/>
          <w:sz w:val="12"/>
          <w:szCs w:val="12"/>
        </w:rPr>
        <w:t xml:space="preserve">Materials provided: </w:t>
      </w:r>
      <w:r w:rsidRPr="00A35D34">
        <w:rPr>
          <w:rFonts w:ascii="Arial" w:hAnsi="Arial" w:cs="Arial"/>
          <w:color w:val="000000"/>
          <w:sz w:val="12"/>
          <w:szCs w:val="12"/>
        </w:rPr>
        <w:t xml:space="preserve">The following materials are contained in the Abrazo </w:t>
      </w:r>
      <w:r w:rsidRPr="00A35D34">
        <w:rPr>
          <w:rFonts w:ascii="Arial" w:hAnsi="Arial" w:cs="Arial"/>
          <w:color w:val="000000"/>
          <w:spacing w:val="-1"/>
          <w:w w:val="98"/>
          <w:sz w:val="12"/>
          <w:szCs w:val="12"/>
        </w:rPr>
        <w:t>c-ACT-LR</w:t>
      </w:r>
      <w:r w:rsidRPr="00A35D34">
        <w:rPr>
          <w:rFonts w:ascii="Arial" w:hAnsi="Arial" w:cs="Arial"/>
          <w:color w:val="000000"/>
          <w:sz w:val="12"/>
          <w:szCs w:val="12"/>
        </w:rPr>
        <w:t xml:space="preserve"> Test Kit (Cat. No. 5701).</w:t>
      </w:r>
    </w:p>
    <w:p w14:paraId="638E3435"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50 Cascade Abrazo c-ACT-LR Test Cards</w:t>
      </w:r>
    </w:p>
    <w:p w14:paraId="6175B5FC" w14:textId="77777777" w:rsidR="00A35D34" w:rsidRPr="00A35D34" w:rsidRDefault="00A35D34" w:rsidP="00A35D34">
      <w:pPr>
        <w:suppressAutoHyphens/>
        <w:autoSpaceDE w:val="0"/>
        <w:autoSpaceDN w:val="0"/>
        <w:adjustRightInd w:val="0"/>
        <w:spacing w:before="20" w:line="288" w:lineRule="auto"/>
        <w:textAlignment w:val="center"/>
        <w:rPr>
          <w:rFonts w:ascii="Arial" w:hAnsi="Arial" w:cs="Arial"/>
          <w:b/>
          <w:bCs/>
          <w:color w:val="000000"/>
          <w:sz w:val="12"/>
          <w:szCs w:val="12"/>
        </w:rPr>
      </w:pPr>
      <w:r w:rsidRPr="00A35D34">
        <w:rPr>
          <w:rFonts w:ascii="Arial" w:hAnsi="Arial" w:cs="Arial"/>
          <w:b/>
          <w:bCs/>
          <w:color w:val="000000"/>
          <w:sz w:val="12"/>
          <w:szCs w:val="12"/>
        </w:rPr>
        <w:t>Materials provided but not contained in the kit:</w:t>
      </w:r>
    </w:p>
    <w:p w14:paraId="7BD3717D" w14:textId="77777777" w:rsidR="00A35D34" w:rsidRPr="00A35D34" w:rsidRDefault="00A35D34" w:rsidP="00A35D34">
      <w:pPr>
        <w:tabs>
          <w:tab w:val="left" w:pos="180"/>
          <w:tab w:val="left" w:pos="260"/>
          <w:tab w:val="left" w:pos="320"/>
          <w:tab w:val="left" w:pos="460"/>
          <w:tab w:val="center" w:pos="3500"/>
        </w:tab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Item</w:t>
      </w:r>
      <w:r w:rsidRPr="00A35D34">
        <w:rPr>
          <w:rFonts w:ascii="Arial" w:hAnsi="Arial" w:cs="Arial"/>
          <w:color w:val="000000"/>
          <w:spacing w:val="-1"/>
          <w:sz w:val="12"/>
          <w:szCs w:val="12"/>
        </w:rPr>
        <w:tab/>
      </w:r>
      <w:r w:rsidRPr="00A35D34">
        <w:rPr>
          <w:rFonts w:ascii="Arial" w:hAnsi="Arial" w:cs="Arial"/>
          <w:color w:val="000000"/>
          <w:spacing w:val="-1"/>
          <w:sz w:val="12"/>
          <w:szCs w:val="12"/>
        </w:rPr>
        <w:tab/>
        <w:t>Cat. No.</w:t>
      </w:r>
    </w:p>
    <w:p w14:paraId="79B5CCA8" w14:textId="77777777" w:rsidR="00A35D34" w:rsidRPr="00A35D34" w:rsidRDefault="00A35D34" w:rsidP="00A35D34">
      <w:pPr>
        <w:tabs>
          <w:tab w:val="left" w:pos="180"/>
          <w:tab w:val="left" w:pos="260"/>
          <w:tab w:val="left" w:pos="320"/>
          <w:tab w:val="left" w:pos="460"/>
          <w:tab w:val="center" w:pos="3500"/>
        </w:tab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z w:val="12"/>
          <w:szCs w:val="12"/>
        </w:rPr>
        <w:tab/>
        <w:t>Cascade Abrazo</w:t>
      </w:r>
      <w:r w:rsidRPr="00A35D34">
        <w:rPr>
          <w:rFonts w:ascii="Arial" w:hAnsi="Arial" w:cs="Arial"/>
          <w:color w:val="000000"/>
          <w:spacing w:val="-1"/>
          <w:sz w:val="12"/>
          <w:szCs w:val="12"/>
        </w:rPr>
        <w:t xml:space="preserve"> Analyzer </w:t>
      </w:r>
      <w:r w:rsidRPr="00A35D34">
        <w:rPr>
          <w:rFonts w:ascii="Arial" w:hAnsi="Arial" w:cs="Arial"/>
          <w:color w:val="000000"/>
          <w:spacing w:val="-1"/>
          <w:sz w:val="12"/>
          <w:szCs w:val="12"/>
        </w:rPr>
        <w:tab/>
        <w:t>5710</w:t>
      </w:r>
    </w:p>
    <w:p w14:paraId="4E7939CC" w14:textId="77777777" w:rsidR="00A35D34" w:rsidRPr="00A35D34" w:rsidRDefault="00A35D34" w:rsidP="00A35D34">
      <w:pPr>
        <w:tabs>
          <w:tab w:val="left" w:pos="180"/>
          <w:tab w:val="left" w:pos="260"/>
          <w:tab w:val="left" w:pos="320"/>
          <w:tab w:val="left" w:pos="460"/>
          <w:tab w:val="center" w:pos="3500"/>
        </w:tab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z w:val="12"/>
          <w:szCs w:val="12"/>
        </w:rPr>
        <w:tab/>
        <w:t>Cascade Abrazo</w:t>
      </w:r>
      <w:r w:rsidRPr="00A35D34">
        <w:rPr>
          <w:rFonts w:ascii="Arial" w:hAnsi="Arial" w:cs="Arial"/>
          <w:color w:val="000000"/>
          <w:spacing w:val="-1"/>
          <w:sz w:val="12"/>
          <w:szCs w:val="12"/>
        </w:rPr>
        <w:t xml:space="preserve"> Electronic QC (EQC) Test Card</w:t>
      </w:r>
      <w:r w:rsidRPr="00A35D34">
        <w:rPr>
          <w:rFonts w:ascii="Arial" w:hAnsi="Arial" w:cs="Arial"/>
          <w:color w:val="000000"/>
          <w:spacing w:val="-1"/>
          <w:sz w:val="12"/>
          <w:szCs w:val="12"/>
        </w:rPr>
        <w:tab/>
        <w:t>5848</w:t>
      </w:r>
    </w:p>
    <w:p w14:paraId="1BAB2F30" w14:textId="77777777" w:rsidR="00A35D34" w:rsidRPr="00A35D34" w:rsidRDefault="00A35D34" w:rsidP="00A35D34">
      <w:pPr>
        <w:tabs>
          <w:tab w:val="left" w:pos="180"/>
          <w:tab w:val="left" w:pos="260"/>
          <w:tab w:val="left" w:pos="320"/>
          <w:tab w:val="left" w:pos="460"/>
          <w:tab w:val="center" w:pos="3500"/>
        </w:tab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z w:val="12"/>
          <w:szCs w:val="12"/>
        </w:rPr>
        <w:tab/>
        <w:t>Cascade Abrazo</w:t>
      </w:r>
      <w:r w:rsidRPr="00A35D34">
        <w:rPr>
          <w:rFonts w:ascii="Arial" w:hAnsi="Arial" w:cs="Arial"/>
          <w:color w:val="000000"/>
          <w:spacing w:val="-1"/>
          <w:sz w:val="12"/>
          <w:szCs w:val="12"/>
        </w:rPr>
        <w:t xml:space="preserve"> </w:t>
      </w:r>
      <w:r w:rsidRPr="00A35D34">
        <w:rPr>
          <w:rFonts w:ascii="Arial" w:hAnsi="Arial" w:cs="Arial"/>
          <w:color w:val="000000"/>
          <w:spacing w:val="-1"/>
          <w:w w:val="98"/>
          <w:sz w:val="12"/>
          <w:szCs w:val="12"/>
        </w:rPr>
        <w:t>c-ACT-LR</w:t>
      </w:r>
      <w:r w:rsidRPr="00A35D34">
        <w:rPr>
          <w:rFonts w:ascii="Arial" w:hAnsi="Arial" w:cs="Arial"/>
          <w:color w:val="000000"/>
          <w:spacing w:val="-1"/>
          <w:sz w:val="12"/>
          <w:szCs w:val="12"/>
        </w:rPr>
        <w:t xml:space="preserve"> Level 1 Control</w:t>
      </w:r>
      <w:r w:rsidRPr="00A35D34">
        <w:rPr>
          <w:rFonts w:ascii="Arial" w:hAnsi="Arial" w:cs="Arial"/>
          <w:color w:val="000000"/>
          <w:spacing w:val="-1"/>
          <w:sz w:val="12"/>
          <w:szCs w:val="12"/>
        </w:rPr>
        <w:tab/>
        <w:t>5727</w:t>
      </w:r>
    </w:p>
    <w:p w14:paraId="113E0361" w14:textId="77777777" w:rsidR="00A35D34" w:rsidRPr="00A35D34" w:rsidRDefault="00A35D34" w:rsidP="00A35D34">
      <w:pPr>
        <w:tabs>
          <w:tab w:val="left" w:pos="180"/>
          <w:tab w:val="left" w:pos="260"/>
          <w:tab w:val="left" w:pos="320"/>
          <w:tab w:val="left" w:pos="460"/>
          <w:tab w:val="center" w:pos="3500"/>
        </w:tab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z w:val="12"/>
          <w:szCs w:val="12"/>
        </w:rPr>
        <w:tab/>
        <w:t>Cascade Abrazo</w:t>
      </w:r>
      <w:r w:rsidRPr="00A35D34">
        <w:rPr>
          <w:rFonts w:ascii="Arial" w:hAnsi="Arial" w:cs="Arial"/>
          <w:color w:val="000000"/>
          <w:spacing w:val="-1"/>
          <w:sz w:val="12"/>
          <w:szCs w:val="12"/>
        </w:rPr>
        <w:t xml:space="preserve"> </w:t>
      </w:r>
      <w:r w:rsidRPr="00A35D34">
        <w:rPr>
          <w:rFonts w:ascii="Arial" w:hAnsi="Arial" w:cs="Arial"/>
          <w:color w:val="000000"/>
          <w:spacing w:val="-1"/>
          <w:w w:val="98"/>
          <w:sz w:val="12"/>
          <w:szCs w:val="12"/>
        </w:rPr>
        <w:t>c-ACT-LR</w:t>
      </w:r>
      <w:r w:rsidRPr="00A35D34">
        <w:rPr>
          <w:rFonts w:ascii="Arial" w:hAnsi="Arial" w:cs="Arial"/>
          <w:color w:val="000000"/>
          <w:spacing w:val="-1"/>
          <w:sz w:val="12"/>
          <w:szCs w:val="12"/>
        </w:rPr>
        <w:t xml:space="preserve"> Level 2 Control</w:t>
      </w:r>
      <w:r w:rsidRPr="00A35D34">
        <w:rPr>
          <w:rFonts w:ascii="Arial" w:hAnsi="Arial" w:cs="Arial"/>
          <w:color w:val="000000"/>
          <w:spacing w:val="-1"/>
          <w:sz w:val="12"/>
          <w:szCs w:val="12"/>
        </w:rPr>
        <w:tab/>
        <w:t>5728</w:t>
      </w:r>
    </w:p>
    <w:p w14:paraId="131469E5" w14:textId="77777777" w:rsidR="00A35D34" w:rsidRPr="00A35D34" w:rsidRDefault="00A35D34" w:rsidP="00A35D34">
      <w:pPr>
        <w:suppressAutoHyphens/>
        <w:autoSpaceDE w:val="0"/>
        <w:autoSpaceDN w:val="0"/>
        <w:adjustRightInd w:val="0"/>
        <w:spacing w:before="20" w:line="288" w:lineRule="auto"/>
        <w:textAlignment w:val="center"/>
        <w:rPr>
          <w:rFonts w:ascii="Arial" w:hAnsi="Arial" w:cs="Arial"/>
          <w:color w:val="000000"/>
          <w:sz w:val="12"/>
          <w:szCs w:val="12"/>
        </w:rPr>
      </w:pPr>
      <w:r w:rsidRPr="00A35D34">
        <w:rPr>
          <w:rFonts w:ascii="Arial" w:hAnsi="Arial" w:cs="Arial"/>
          <w:b/>
          <w:bCs/>
          <w:color w:val="000000"/>
          <w:sz w:val="12"/>
          <w:szCs w:val="12"/>
        </w:rPr>
        <w:t>Materials Required but not provided:</w:t>
      </w:r>
    </w:p>
    <w:p w14:paraId="112F3EE0" w14:textId="6716C64D"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w:t>
      </w:r>
      <w:r w:rsidRPr="00A35D34">
        <w:rPr>
          <w:rFonts w:ascii="Arial" w:hAnsi="Arial" w:cs="Arial"/>
          <w:color w:val="000000"/>
          <w:spacing w:val="-1"/>
          <w:sz w:val="12"/>
          <w:szCs w:val="12"/>
        </w:rPr>
        <w:tab/>
        <w:t>Blood sampling materials such as venipuncture needles, syringes, alcohol swabs</w:t>
      </w:r>
    </w:p>
    <w:p w14:paraId="5C8BD231" w14:textId="6FC27061"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w:t>
      </w:r>
      <w:r w:rsidRPr="00A35D34">
        <w:rPr>
          <w:rFonts w:ascii="Arial" w:hAnsi="Arial" w:cs="Arial"/>
          <w:color w:val="000000"/>
          <w:spacing w:val="-1"/>
          <w:sz w:val="12"/>
          <w:szCs w:val="12"/>
        </w:rPr>
        <w:tab/>
        <w:t>Sample transfer devices (pipettes or droppers) capable of delivering approximately 30 to 35 µL</w:t>
      </w:r>
    </w:p>
    <w:p w14:paraId="7B0B9231" w14:textId="77777777" w:rsidR="00A35D34" w:rsidRPr="00A35D34" w:rsidRDefault="00A35D34" w:rsidP="00A35D34">
      <w:pPr>
        <w:autoSpaceDE w:val="0"/>
        <w:autoSpaceDN w:val="0"/>
        <w:adjustRightInd w:val="0"/>
        <w:spacing w:before="2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Step by Step</w:t>
      </w:r>
    </w:p>
    <w:p w14:paraId="05F44D54" w14:textId="115E3579" w:rsidR="00A35D34" w:rsidRPr="00A35D34" w:rsidRDefault="00A35D34" w:rsidP="00A35D34">
      <w:pPr>
        <w:tabs>
          <w:tab w:val="right" w:pos="140"/>
          <w:tab w:val="left" w:pos="200"/>
          <w:tab w:val="left" w:pos="260"/>
          <w:tab w:val="right" w:pos="5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1.</w:t>
      </w:r>
      <w:r w:rsidRPr="00A35D34">
        <w:rPr>
          <w:rFonts w:ascii="Arial" w:hAnsi="Arial" w:cs="Arial"/>
          <w:color w:val="000000"/>
          <w:spacing w:val="-1"/>
          <w:sz w:val="12"/>
          <w:szCs w:val="12"/>
        </w:rPr>
        <w:tab/>
        <w:t>Refer to the Abrazo Operator's manual for appropriate analyte set up procedures.</w:t>
      </w:r>
    </w:p>
    <w:p w14:paraId="2EE7F2B5" w14:textId="5D49B4CD" w:rsidR="00A35D34" w:rsidRPr="00A35D34" w:rsidRDefault="00A35D34" w:rsidP="00A35D34">
      <w:pPr>
        <w:tabs>
          <w:tab w:val="right" w:pos="140"/>
          <w:tab w:val="left" w:pos="200"/>
          <w:tab w:val="left" w:pos="260"/>
          <w:tab w:val="right" w:pos="5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2.</w:t>
      </w:r>
      <w:r w:rsidRPr="00A35D34">
        <w:rPr>
          <w:rFonts w:ascii="Arial" w:hAnsi="Arial" w:cs="Arial"/>
          <w:color w:val="000000"/>
          <w:spacing w:val="-1"/>
          <w:sz w:val="12"/>
          <w:szCs w:val="12"/>
        </w:rPr>
        <w:tab/>
        <w:t>Equilibrate test cards at room temperature (15 to 25°C, or 59 to 77°F) for a minimum of 15 minutes before removing from the foil pouch.</w:t>
      </w:r>
      <w:r w:rsidRPr="00A35D34">
        <w:rPr>
          <w:rFonts w:ascii="Arial" w:hAnsi="Arial" w:cs="Arial"/>
          <w:b/>
          <w:bCs/>
          <w:color w:val="000000"/>
          <w:spacing w:val="-1"/>
          <w:sz w:val="12"/>
          <w:szCs w:val="12"/>
        </w:rPr>
        <w:tab/>
      </w:r>
      <w:r w:rsidRPr="00A35D34">
        <w:rPr>
          <w:rFonts w:ascii="Arial" w:hAnsi="Arial" w:cs="Arial"/>
          <w:b/>
          <w:bCs/>
          <w:color w:val="000000"/>
          <w:spacing w:val="-1"/>
          <w:sz w:val="12"/>
          <w:szCs w:val="12"/>
        </w:rPr>
        <w:br/>
        <w:t>CAUTION:</w:t>
      </w:r>
      <w:r w:rsidRPr="00A35D34">
        <w:rPr>
          <w:rFonts w:ascii="Arial" w:hAnsi="Arial" w:cs="Arial"/>
          <w:color w:val="000000"/>
          <w:spacing w:val="-1"/>
          <w:sz w:val="12"/>
          <w:szCs w:val="12"/>
        </w:rPr>
        <w:t xml:space="preserve"> The test card </w:t>
      </w:r>
      <w:r w:rsidRPr="00A35D34">
        <w:rPr>
          <w:rFonts w:ascii="Arial" w:hAnsi="Arial" w:cs="Arial"/>
          <w:color w:val="000000"/>
          <w:spacing w:val="-1"/>
          <w:sz w:val="12"/>
          <w:szCs w:val="12"/>
          <w:u w:val="thick"/>
        </w:rPr>
        <w:t>must</w:t>
      </w:r>
      <w:r w:rsidRPr="00A35D34">
        <w:rPr>
          <w:rFonts w:ascii="Arial" w:hAnsi="Arial" w:cs="Arial"/>
          <w:color w:val="000000"/>
          <w:spacing w:val="-1"/>
          <w:sz w:val="12"/>
          <w:szCs w:val="12"/>
        </w:rPr>
        <w:t xml:space="preserve"> be used within 15 minutes </w:t>
      </w:r>
      <w:r w:rsidRPr="00A35D34">
        <w:rPr>
          <w:rFonts w:ascii="Arial" w:hAnsi="Arial" w:cs="Arial"/>
          <w:color w:val="000000"/>
          <w:spacing w:val="-1"/>
          <w:sz w:val="12"/>
          <w:szCs w:val="12"/>
          <w:u w:val="thick"/>
        </w:rPr>
        <w:t>after</w:t>
      </w:r>
      <w:r w:rsidRPr="00A35D34">
        <w:rPr>
          <w:rFonts w:ascii="Arial" w:hAnsi="Arial" w:cs="Arial"/>
          <w:color w:val="000000"/>
          <w:spacing w:val="-1"/>
          <w:sz w:val="12"/>
          <w:szCs w:val="12"/>
        </w:rPr>
        <w:t xml:space="preserve"> the pouch is opened. Pouches of cards should </w:t>
      </w:r>
      <w:r w:rsidRPr="00A35D34">
        <w:rPr>
          <w:rFonts w:ascii="Arial" w:hAnsi="Arial" w:cs="Arial"/>
          <w:color w:val="000000"/>
          <w:spacing w:val="-1"/>
          <w:sz w:val="12"/>
          <w:szCs w:val="12"/>
          <w:u w:val="thick"/>
        </w:rPr>
        <w:t>not</w:t>
      </w:r>
      <w:r w:rsidRPr="00A35D34">
        <w:rPr>
          <w:rFonts w:ascii="Arial" w:hAnsi="Arial" w:cs="Arial"/>
          <w:color w:val="000000"/>
          <w:spacing w:val="-1"/>
          <w:sz w:val="12"/>
          <w:szCs w:val="12"/>
        </w:rPr>
        <w:t xml:space="preserve"> be repeatedly warmed and returned to the refrigerator. </w:t>
      </w:r>
    </w:p>
    <w:p w14:paraId="1356DF8D" w14:textId="6FA9F350" w:rsidR="00A35D34" w:rsidRPr="00A35D34" w:rsidRDefault="00A35D34" w:rsidP="00A35D34">
      <w:pPr>
        <w:tabs>
          <w:tab w:val="right" w:pos="140"/>
          <w:tab w:val="left" w:pos="200"/>
          <w:tab w:val="left" w:pos="260"/>
          <w:tab w:val="right" w:pos="5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3.</w:t>
      </w:r>
      <w:r w:rsidRPr="00A35D34">
        <w:rPr>
          <w:rFonts w:ascii="Arial" w:hAnsi="Arial" w:cs="Arial"/>
          <w:color w:val="000000"/>
          <w:spacing w:val="-1"/>
          <w:sz w:val="12"/>
          <w:szCs w:val="12"/>
        </w:rPr>
        <w:tab/>
        <w:t>Select patient test from main menu on Abrazo. Remove the test card from its foil pouch and hold it backwards with the barcode facing the Abrazo, approximately 6 to 8 inches from the Abrazo.</w:t>
      </w:r>
    </w:p>
    <w:p w14:paraId="06CAD6E1" w14:textId="65E831E8" w:rsidR="00A35D34" w:rsidRPr="00A35D34" w:rsidRDefault="00A35D34" w:rsidP="00A35D34">
      <w:pPr>
        <w:tabs>
          <w:tab w:val="right" w:pos="140"/>
          <w:tab w:val="left" w:pos="200"/>
          <w:tab w:val="left" w:pos="260"/>
          <w:tab w:val="right" w:pos="5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4.</w:t>
      </w:r>
      <w:r w:rsidRPr="00A35D34">
        <w:rPr>
          <w:rFonts w:ascii="Arial" w:hAnsi="Arial" w:cs="Arial"/>
          <w:color w:val="000000"/>
          <w:spacing w:val="-1"/>
          <w:sz w:val="12"/>
          <w:szCs w:val="12"/>
        </w:rPr>
        <w:tab/>
        <w:t>Tilt the card backwards slightly (approx. 15 degrees) and scan the encoded 2D barcode in the middle of the card. The analyzer interprets the encoded information on the test card and display prompts for each step of the procedure.</w:t>
      </w:r>
    </w:p>
    <w:p w14:paraId="1CDD829F" w14:textId="0CF6C2CC" w:rsidR="00A35D34" w:rsidRPr="00A35D34" w:rsidRDefault="00A35D34" w:rsidP="00A35D34">
      <w:pPr>
        <w:tabs>
          <w:tab w:val="right" w:pos="140"/>
          <w:tab w:val="left" w:pos="200"/>
          <w:tab w:val="left" w:pos="260"/>
          <w:tab w:val="right" w:pos="5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5.</w:t>
      </w:r>
      <w:r w:rsidRPr="00A35D34">
        <w:rPr>
          <w:rFonts w:ascii="Arial" w:hAnsi="Arial" w:cs="Arial"/>
          <w:color w:val="000000"/>
          <w:spacing w:val="-1"/>
          <w:sz w:val="12"/>
          <w:szCs w:val="12"/>
        </w:rPr>
        <w:tab/>
        <w:t>When prompted, place the test card in the analyzer, and allow to warm. Once the card is warmed, the Abrazo starts a countdown for the sample addition.</w:t>
      </w:r>
      <w:r w:rsidRPr="00A35D34">
        <w:rPr>
          <w:rFonts w:ascii="Arial" w:hAnsi="Arial" w:cs="Arial"/>
          <w:color w:val="000000"/>
          <w:spacing w:val="-1"/>
          <w:sz w:val="12"/>
          <w:szCs w:val="12"/>
        </w:rPr>
        <w:tab/>
      </w:r>
      <w:r w:rsidRPr="00A35D34">
        <w:rPr>
          <w:rFonts w:ascii="Arial" w:hAnsi="Arial" w:cs="Arial"/>
          <w:color w:val="000000"/>
          <w:spacing w:val="-1"/>
          <w:sz w:val="12"/>
          <w:szCs w:val="12"/>
        </w:rPr>
        <w:tab/>
      </w:r>
      <w:r w:rsidRPr="00A35D34">
        <w:rPr>
          <w:rFonts w:ascii="Arial" w:hAnsi="Arial" w:cs="Arial"/>
          <w:color w:val="000000"/>
          <w:spacing w:val="-1"/>
          <w:sz w:val="12"/>
          <w:szCs w:val="12"/>
        </w:rPr>
        <w:br/>
      </w:r>
      <w:r w:rsidRPr="00A35D34">
        <w:rPr>
          <w:rFonts w:ascii="Arial" w:hAnsi="Arial" w:cs="Arial"/>
          <w:b/>
          <w:bCs/>
          <w:color w:val="000000"/>
          <w:spacing w:val="-1"/>
          <w:sz w:val="12"/>
          <w:szCs w:val="12"/>
        </w:rPr>
        <w:t>CAUTION:</w:t>
      </w:r>
      <w:r w:rsidRPr="00A35D34">
        <w:rPr>
          <w:rFonts w:ascii="Arial" w:hAnsi="Arial" w:cs="Arial"/>
          <w:color w:val="000000"/>
          <w:spacing w:val="-1"/>
          <w:sz w:val="12"/>
          <w:szCs w:val="12"/>
        </w:rPr>
        <w:t xml:space="preserve"> The Abrazo will only perform tests on test cards and sample types that have been entered into the instrument's setup menu.</w:t>
      </w:r>
    </w:p>
    <w:p w14:paraId="78E8D7DD" w14:textId="719BC307" w:rsidR="00A35D34" w:rsidRPr="00A35D34" w:rsidRDefault="00A35D34" w:rsidP="00A35D34">
      <w:pPr>
        <w:tabs>
          <w:tab w:val="right" w:pos="140"/>
          <w:tab w:val="left" w:pos="200"/>
          <w:tab w:val="left" w:pos="260"/>
          <w:tab w:val="right" w:pos="5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6.</w:t>
      </w:r>
      <w:r w:rsidRPr="00A35D34">
        <w:rPr>
          <w:rFonts w:ascii="Arial" w:hAnsi="Arial" w:cs="Arial"/>
          <w:color w:val="000000"/>
          <w:spacing w:val="-1"/>
          <w:sz w:val="12"/>
          <w:szCs w:val="12"/>
        </w:rPr>
        <w:tab/>
        <w:t xml:space="preserve">Holding the sample transfer device at least one inch above the sample well (colored circle) on the test card, add 30 to 35 µL of free-falling sample. </w:t>
      </w:r>
      <w:r w:rsidRPr="00A35D34">
        <w:rPr>
          <w:rFonts w:ascii="Arial" w:hAnsi="Arial" w:cs="Arial"/>
          <w:b/>
          <w:bCs/>
          <w:color w:val="000000"/>
          <w:spacing w:val="-1"/>
          <w:sz w:val="12"/>
          <w:szCs w:val="12"/>
        </w:rPr>
        <w:t xml:space="preserve">NOTE: </w:t>
      </w:r>
      <w:r w:rsidRPr="00A35D34">
        <w:rPr>
          <w:rFonts w:ascii="Arial" w:hAnsi="Arial" w:cs="Arial"/>
          <w:color w:val="000000"/>
          <w:spacing w:val="-1"/>
          <w:sz w:val="12"/>
          <w:szCs w:val="12"/>
        </w:rPr>
        <w:t>Do not allow the transfer device nor the hanging sample drop to contact the test card when applying the sample. Sample placement automatically initiates testing.</w:t>
      </w:r>
    </w:p>
    <w:p w14:paraId="17AE2BC7" w14:textId="7F95E936" w:rsidR="00A35D34" w:rsidRPr="00A35D34" w:rsidRDefault="00A35D34" w:rsidP="00A35D34">
      <w:pPr>
        <w:tabs>
          <w:tab w:val="right" w:pos="140"/>
          <w:tab w:val="left" w:pos="200"/>
          <w:tab w:val="left" w:pos="260"/>
          <w:tab w:val="right" w:pos="560"/>
        </w:tab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7.</w:t>
      </w:r>
      <w:r w:rsidRPr="00A35D34">
        <w:rPr>
          <w:rFonts w:ascii="Arial" w:hAnsi="Arial" w:cs="Arial"/>
          <w:color w:val="000000"/>
          <w:spacing w:val="-1"/>
          <w:sz w:val="12"/>
          <w:szCs w:val="12"/>
        </w:rPr>
        <w:tab/>
        <w:t>At the end of the test, confirm that the test was performed with the analyzer set to the appropriate sample type. The sample type is displayed along with the result at the end of the test.</w:t>
      </w:r>
    </w:p>
    <w:p w14:paraId="0FD239C0" w14:textId="3520BE9E" w:rsidR="00A35D34" w:rsidRPr="00A35D34" w:rsidRDefault="00A35D34" w:rsidP="00A35D34">
      <w:pPr>
        <w:tabs>
          <w:tab w:val="right" w:pos="140"/>
          <w:tab w:val="left" w:pos="200"/>
          <w:tab w:val="left" w:pos="260"/>
          <w:tab w:val="right" w:pos="560"/>
        </w:tab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8.</w:t>
      </w:r>
      <w:r w:rsidRPr="00A35D34">
        <w:rPr>
          <w:rFonts w:ascii="Arial" w:hAnsi="Arial" w:cs="Arial"/>
          <w:color w:val="000000"/>
          <w:spacing w:val="-1"/>
          <w:sz w:val="12"/>
          <w:szCs w:val="12"/>
        </w:rPr>
        <w:tab/>
        <w:t>When the card is removed from the analyzer at the end of each test, ensure that the entire reaction chamber was filled with sample. If an inadequate amount of sample was added to the card, repeat the test, using a fresh card.</w:t>
      </w:r>
    </w:p>
    <w:p w14:paraId="0EFE4708" w14:textId="443D92EF" w:rsidR="00A35D34" w:rsidRPr="00A35D34" w:rsidRDefault="00A35D34" w:rsidP="00A35D34">
      <w:pPr>
        <w:tabs>
          <w:tab w:val="right" w:pos="140"/>
          <w:tab w:val="left" w:pos="200"/>
          <w:tab w:val="left" w:pos="260"/>
          <w:tab w:val="right" w:pos="560"/>
        </w:tab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9.</w:t>
      </w:r>
      <w:r w:rsidRPr="00A35D34">
        <w:rPr>
          <w:rFonts w:ascii="Arial" w:hAnsi="Arial" w:cs="Arial"/>
          <w:color w:val="000000"/>
          <w:spacing w:val="-1"/>
          <w:sz w:val="12"/>
          <w:szCs w:val="12"/>
        </w:rPr>
        <w:tab/>
        <w:t>After testing is complete, inspect the test card. Refer to the Operator Manual for images of the test card for comparison.</w:t>
      </w:r>
    </w:p>
    <w:p w14:paraId="4BF7ADEF" w14:textId="093AA502" w:rsidR="00A35D34" w:rsidRPr="00A35D34" w:rsidRDefault="00A35D34" w:rsidP="00A35D34">
      <w:pPr>
        <w:tabs>
          <w:tab w:val="right" w:pos="140"/>
          <w:tab w:val="left" w:pos="200"/>
          <w:tab w:val="left" w:pos="260"/>
          <w:tab w:val="right" w:pos="560"/>
        </w:tab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10.</w:t>
      </w:r>
      <w:r w:rsidRPr="00A35D34">
        <w:rPr>
          <w:rFonts w:ascii="Arial" w:hAnsi="Arial" w:cs="Arial"/>
          <w:color w:val="000000"/>
          <w:spacing w:val="-1"/>
          <w:sz w:val="12"/>
          <w:szCs w:val="12"/>
        </w:rPr>
        <w:tab/>
        <w:t>Dispose of the test card and other contaminated items in a manner approved for biohazardous material.</w:t>
      </w:r>
      <w:r w:rsidRPr="00A35D34">
        <w:rPr>
          <w:rFonts w:ascii="Arial" w:hAnsi="Arial" w:cs="Arial"/>
          <w:color w:val="000000"/>
          <w:spacing w:val="-1"/>
          <w:sz w:val="12"/>
          <w:szCs w:val="12"/>
          <w:vertAlign w:val="superscript"/>
        </w:rPr>
        <w:t>7-9</w:t>
      </w:r>
    </w:p>
    <w:p w14:paraId="77D89438"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b/>
          <w:bCs/>
          <w:color w:val="000000"/>
          <w:sz w:val="14"/>
          <w:szCs w:val="14"/>
        </w:rPr>
      </w:pPr>
      <w:r w:rsidRPr="00A35D34">
        <w:rPr>
          <w:rFonts w:ascii="Arial" w:hAnsi="Arial" w:cs="Arial"/>
          <w:b/>
          <w:bCs/>
          <w:color w:val="000000"/>
          <w:sz w:val="14"/>
          <w:szCs w:val="14"/>
        </w:rPr>
        <w:t>Procedural Notes</w:t>
      </w:r>
    </w:p>
    <w:p w14:paraId="4ABB25D9" w14:textId="29D8EA76"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lastRenderedPageBreak/>
        <w:t>•</w:t>
      </w:r>
      <w:r w:rsidRPr="00A35D34">
        <w:rPr>
          <w:rFonts w:ascii="Arial" w:hAnsi="Arial" w:cs="Arial"/>
          <w:color w:val="000000"/>
          <w:spacing w:val="-1"/>
          <w:sz w:val="12"/>
          <w:szCs w:val="12"/>
        </w:rPr>
        <w:tab/>
        <w:t>The analyzer is preset to provide a constant temperature of 37 ± 0.3°C (98.6 ± 0.5°F) and will automatically prewarm the test card before prompting the user to apply the sample drop. All other calibrations necessary are encoded on each test card. Refer to the operator’s manual for details.</w:t>
      </w:r>
    </w:p>
    <w:p w14:paraId="08A7D944" w14:textId="01A77535"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w:t>
      </w:r>
      <w:r w:rsidRPr="00A35D34">
        <w:rPr>
          <w:rFonts w:ascii="Arial" w:hAnsi="Arial" w:cs="Arial"/>
          <w:color w:val="000000"/>
          <w:spacing w:val="-1"/>
          <w:sz w:val="12"/>
          <w:szCs w:val="12"/>
        </w:rPr>
        <w:tab/>
        <w:t xml:space="preserve">To maintain a fully charged battery, leave the unit plugged into its power supply which is, in turn, plugged into an AC outlet. </w:t>
      </w:r>
    </w:p>
    <w:p w14:paraId="2A46BA9B" w14:textId="1048188C"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w:t>
      </w:r>
      <w:r w:rsidRPr="00A35D34">
        <w:rPr>
          <w:rFonts w:ascii="Arial" w:hAnsi="Arial" w:cs="Arial"/>
          <w:color w:val="000000"/>
          <w:spacing w:val="-1"/>
          <w:sz w:val="12"/>
          <w:szCs w:val="12"/>
        </w:rPr>
        <w:tab/>
        <w:t>The Operator Identification and the Quality Control Lockout are optional features. Refer to the operator’s manual if either of these features has been enabled.</w:t>
      </w:r>
    </w:p>
    <w:p w14:paraId="767188EC" w14:textId="38E25F5E"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w:t>
      </w:r>
      <w:r w:rsidRPr="00A35D34">
        <w:rPr>
          <w:rFonts w:ascii="Arial" w:hAnsi="Arial" w:cs="Arial"/>
          <w:color w:val="000000"/>
          <w:spacing w:val="-1"/>
          <w:sz w:val="12"/>
          <w:szCs w:val="12"/>
        </w:rPr>
        <w:tab/>
        <w:t>Operate the analyzer only at ambient temperatures between 15 to 32°C (59 to 89.6°F).</w:t>
      </w:r>
    </w:p>
    <w:p w14:paraId="7C9EC3E9" w14:textId="5F717A71"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w:t>
      </w:r>
      <w:r w:rsidRPr="00A35D34">
        <w:rPr>
          <w:rFonts w:ascii="Arial" w:hAnsi="Arial" w:cs="Arial"/>
          <w:color w:val="000000"/>
          <w:spacing w:val="-1"/>
          <w:sz w:val="12"/>
          <w:szCs w:val="12"/>
        </w:rPr>
        <w:tab/>
        <w:t>Ensure that the sealed pouch containing a test card has reached room temperature and that the analyzer is either plugged into an appropriate AC wall outlet or has a sufficiently charged battery.</w:t>
      </w:r>
    </w:p>
    <w:p w14:paraId="71CEBD59" w14:textId="1F7328C1"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w:t>
      </w:r>
      <w:r w:rsidRPr="00A35D34">
        <w:rPr>
          <w:rFonts w:ascii="Arial" w:hAnsi="Arial" w:cs="Arial"/>
          <w:color w:val="000000"/>
          <w:spacing w:val="-1"/>
          <w:sz w:val="12"/>
          <w:szCs w:val="12"/>
        </w:rPr>
        <w:tab/>
        <w:t>Collect the sample as described in Specimen Collection and Preparation.</w:t>
      </w:r>
    </w:p>
    <w:p w14:paraId="2342FB57" w14:textId="1FEF3694"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w:t>
      </w:r>
      <w:r w:rsidRPr="00A35D34">
        <w:rPr>
          <w:rFonts w:ascii="Arial" w:hAnsi="Arial" w:cs="Arial"/>
          <w:color w:val="000000"/>
          <w:spacing w:val="-1"/>
          <w:sz w:val="12"/>
          <w:szCs w:val="12"/>
        </w:rPr>
        <w:tab/>
        <w:t>After the test card is inserted into the Abrazo, the card should not be touched until the test has been completed.</w:t>
      </w:r>
    </w:p>
    <w:p w14:paraId="5BB103C2" w14:textId="77777777" w:rsidR="00A35D34" w:rsidRPr="00A35D34" w:rsidRDefault="00A35D34" w:rsidP="00A35D34">
      <w:pPr>
        <w:autoSpaceDE w:val="0"/>
        <w:autoSpaceDN w:val="0"/>
        <w:adjustRightInd w:val="0"/>
        <w:spacing w:before="2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Quality Control</w:t>
      </w:r>
    </w:p>
    <w:p w14:paraId="30EA0A6F"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b/>
          <w:bCs/>
          <w:color w:val="000000"/>
          <w:spacing w:val="-1"/>
          <w:sz w:val="12"/>
          <w:szCs w:val="12"/>
        </w:rPr>
        <w:t>Calibration:</w:t>
      </w:r>
      <w:r w:rsidRPr="00A35D34">
        <w:rPr>
          <w:rFonts w:ascii="Arial" w:hAnsi="Arial" w:cs="Arial"/>
          <w:color w:val="000000"/>
          <w:spacing w:val="-1"/>
          <w:sz w:val="12"/>
          <w:szCs w:val="12"/>
        </w:rPr>
        <w:t xml:space="preserve"> Operator calibration is not required. Calibration of both the analyzer and test cards was performed at the time of manufacture.</w:t>
      </w:r>
    </w:p>
    <w:p w14:paraId="1D9F1FD0"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Daily quality control (QC) is good laboratory practice and is required by most states in the U.S. and the Clinical Laboratory Improvement Amendment, 1988 (CLIA ’88). Quality control procedures are part of an overall quality assurance program to ensure the accuracy and reliability of patient results and reports. Monitoring the results of QC analyses can alert you to possible system performance problems. Healthcare professionals should follow proper local and national guidelines for quality control and check with appropriate licensing/accrediting bodies to ensure that QC programs meet established standards. Participation in Proficiency Survey programs allows for the comparison with systems in other laboratories and may help identify possible errors not detected by intra-laboratory QC testing alone.</w:t>
      </w:r>
    </w:p>
    <w:p w14:paraId="7C944015"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There are two types of quality control that may be used on the Cascade Abrazo: Electronic Quality Control (EQC Test Card) and plasma controls.</w:t>
      </w:r>
    </w:p>
    <w:p w14:paraId="5E6B5772"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 xml:space="preserve">The EQC Test Card ensures that the electronic components of the Cascade Abrazo analyzer are working properly. The purpose of the EQC Test Card is to offer a simple and economic alternative to the daily use of Cascade Abrazo test cards and plasma controls. However, the EQC test card is </w:t>
      </w:r>
      <w:r w:rsidRPr="00A35D34">
        <w:rPr>
          <w:rFonts w:ascii="Arial" w:hAnsi="Arial" w:cs="Arial"/>
          <w:b/>
          <w:bCs/>
          <w:color w:val="000000"/>
          <w:spacing w:val="-1"/>
          <w:sz w:val="12"/>
          <w:szCs w:val="12"/>
          <w:u w:val="thick" w:color="000000"/>
        </w:rPr>
        <w:t>not</w:t>
      </w:r>
      <w:r w:rsidRPr="00A35D34">
        <w:rPr>
          <w:rFonts w:ascii="Arial" w:hAnsi="Arial" w:cs="Arial"/>
          <w:color w:val="000000"/>
          <w:spacing w:val="-1"/>
          <w:sz w:val="12"/>
          <w:szCs w:val="12"/>
        </w:rPr>
        <w:t xml:space="preserve"> intended to permanently replace plasma controls.</w:t>
      </w:r>
    </w:p>
    <w:p w14:paraId="570686F5"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At least two levels of EQC quality control must be performed every 8 hours of operation when patient samples are tested. It is imperative that, at a minimum, plasma controls are tested in the following situations:</w:t>
      </w:r>
    </w:p>
    <w:p w14:paraId="307436FA" w14:textId="77777777" w:rsidR="00A35D34" w:rsidRPr="00A35D34" w:rsidRDefault="00A35D34" w:rsidP="00A35D34">
      <w:pPr>
        <w:tabs>
          <w:tab w:val="left" w:pos="200"/>
          <w:tab w:val="left" w:pos="34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w:t>
      </w:r>
      <w:r w:rsidRPr="00A35D34">
        <w:rPr>
          <w:rFonts w:ascii="Arial" w:hAnsi="Arial" w:cs="Arial"/>
          <w:color w:val="000000"/>
          <w:spacing w:val="-1"/>
          <w:sz w:val="12"/>
          <w:szCs w:val="12"/>
        </w:rPr>
        <w:tab/>
        <w:t>With each new box of test cards or at least once per week</w:t>
      </w:r>
    </w:p>
    <w:p w14:paraId="756DE3B8" w14:textId="77777777" w:rsidR="00A35D34" w:rsidRPr="00A35D34" w:rsidRDefault="00A35D34" w:rsidP="00A35D34">
      <w:pPr>
        <w:tabs>
          <w:tab w:val="left" w:pos="200"/>
          <w:tab w:val="left" w:pos="34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w:t>
      </w:r>
      <w:r w:rsidRPr="00A35D34">
        <w:rPr>
          <w:rFonts w:ascii="Arial" w:hAnsi="Arial" w:cs="Arial"/>
          <w:color w:val="000000"/>
          <w:spacing w:val="-1"/>
          <w:sz w:val="12"/>
          <w:szCs w:val="12"/>
        </w:rPr>
        <w:tab/>
        <w:t>With each new shipment of test cards</w:t>
      </w:r>
    </w:p>
    <w:p w14:paraId="13C5EDF3" w14:textId="77777777" w:rsidR="00A35D34" w:rsidRPr="00A35D34" w:rsidRDefault="00A35D34" w:rsidP="00A35D34">
      <w:pPr>
        <w:tabs>
          <w:tab w:val="left" w:pos="200"/>
          <w:tab w:val="left" w:pos="34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w:t>
      </w:r>
      <w:r w:rsidRPr="00A35D34">
        <w:rPr>
          <w:rFonts w:ascii="Arial" w:hAnsi="Arial" w:cs="Arial"/>
          <w:color w:val="000000"/>
          <w:spacing w:val="-1"/>
          <w:sz w:val="12"/>
          <w:szCs w:val="12"/>
        </w:rPr>
        <w:tab/>
        <w:t>With each new lot number of test cards</w:t>
      </w:r>
    </w:p>
    <w:p w14:paraId="2B465088" w14:textId="77777777" w:rsidR="00A35D34" w:rsidRPr="00A35D34" w:rsidRDefault="00A35D34" w:rsidP="00A35D34">
      <w:pPr>
        <w:tabs>
          <w:tab w:val="left" w:pos="200"/>
          <w:tab w:val="left" w:pos="34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w:t>
      </w:r>
      <w:r w:rsidRPr="00A35D34">
        <w:rPr>
          <w:rFonts w:ascii="Arial" w:hAnsi="Arial" w:cs="Arial"/>
          <w:color w:val="000000"/>
          <w:spacing w:val="-1"/>
          <w:sz w:val="12"/>
          <w:szCs w:val="12"/>
        </w:rPr>
        <w:tab/>
        <w:t>Whenever improper storage or handling of test cards is suspected</w:t>
      </w:r>
    </w:p>
    <w:p w14:paraId="438C2F4C" w14:textId="370D83AA" w:rsidR="00A35D34" w:rsidRPr="00A35D34" w:rsidRDefault="00A35D34" w:rsidP="00A35D34">
      <w:pPr>
        <w:tabs>
          <w:tab w:val="left" w:pos="200"/>
          <w:tab w:val="left" w:pos="34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ab/>
        <w:t>•</w:t>
      </w:r>
      <w:r w:rsidRPr="00A35D34">
        <w:rPr>
          <w:rFonts w:ascii="Arial" w:hAnsi="Arial" w:cs="Arial"/>
          <w:color w:val="000000"/>
          <w:spacing w:val="-1"/>
          <w:sz w:val="12"/>
          <w:szCs w:val="12"/>
        </w:rPr>
        <w:tab/>
        <w:t>Whenever patient results appear abnormally high or low</w:t>
      </w:r>
    </w:p>
    <w:p w14:paraId="73FF51CB" w14:textId="77777777" w:rsidR="00A35D34" w:rsidRPr="00A35D34" w:rsidRDefault="00A35D34" w:rsidP="00A35D34">
      <w:pPr>
        <w:tabs>
          <w:tab w:val="left" w:pos="240"/>
          <w:tab w:val="left" w:pos="42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This testing is in addition to the daily EQC testing. For more detailed information about quality control for the Cascade Abrazo, refer to the Cascade Abrazo Operator's Manual, the EQC test card package inserts, or contact your local authorized distributor.</w:t>
      </w:r>
    </w:p>
    <w:p w14:paraId="24F1DB20" w14:textId="77777777" w:rsidR="00A35D34" w:rsidRPr="00A35D34" w:rsidRDefault="00A35D34" w:rsidP="00A35D34">
      <w:pPr>
        <w:autoSpaceDE w:val="0"/>
        <w:autoSpaceDN w:val="0"/>
        <w:adjustRightInd w:val="0"/>
        <w:spacing w:before="2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Reference Values</w:t>
      </w:r>
    </w:p>
    <w:p w14:paraId="6D701032"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 xml:space="preserve">A total of 105 fresh whole blood samples were collected from 105 patients including males and females, ranging from 23 to 87 years, undergoing interventional cardiac procedures, ECMO (Extracorporeal Membrane Oxygenation), and hemodialysis.  </w:t>
      </w:r>
      <w:proofErr w:type="spellStart"/>
      <w:r w:rsidRPr="00A35D34">
        <w:rPr>
          <w:rFonts w:ascii="Arial" w:hAnsi="Arial" w:cs="Arial"/>
          <w:color w:val="000000"/>
          <w:spacing w:val="-1"/>
          <w:sz w:val="12"/>
          <w:szCs w:val="12"/>
        </w:rPr>
        <w:t>Preheparinized</w:t>
      </w:r>
      <w:proofErr w:type="spellEnd"/>
      <w:r w:rsidRPr="00A35D34">
        <w:rPr>
          <w:rFonts w:ascii="Arial" w:hAnsi="Arial" w:cs="Arial"/>
          <w:color w:val="000000"/>
          <w:spacing w:val="-1"/>
          <w:sz w:val="12"/>
          <w:szCs w:val="12"/>
        </w:rPr>
        <w:t xml:space="preserve"> samples were tested and resulted in a reference range of 111 to 164 seconds. These ranges should be used as a guideline only. Operators should establish their own normal ranges, based on their own population of normal individuals.</w:t>
      </w:r>
      <w:r w:rsidRPr="00A35D34">
        <w:rPr>
          <w:rFonts w:ascii="Arial" w:hAnsi="Arial" w:cs="Arial"/>
          <w:color w:val="000000"/>
          <w:spacing w:val="-1"/>
          <w:sz w:val="12"/>
          <w:szCs w:val="12"/>
          <w:vertAlign w:val="superscript"/>
        </w:rPr>
        <w:t>6,11</w:t>
      </w:r>
    </w:p>
    <w:p w14:paraId="7F2A497E"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Individual c-ACT-LR clotting responses to heparin depend on several factors and can vary considerably. In general, as heparin concentration is increased in the presence of Antithrombin, c-ACT-LR clotting times will be progressively long.</w:t>
      </w:r>
    </w:p>
    <w:p w14:paraId="14526661" w14:textId="77777777" w:rsidR="00A35D34" w:rsidRPr="00A35D34" w:rsidRDefault="00A35D34" w:rsidP="00A35D34">
      <w:pPr>
        <w:autoSpaceDE w:val="0"/>
        <w:autoSpaceDN w:val="0"/>
        <w:adjustRightInd w:val="0"/>
        <w:spacing w:before="2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Results</w:t>
      </w:r>
    </w:p>
    <w:p w14:paraId="382E579A"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b/>
          <w:bCs/>
          <w:color w:val="000000"/>
          <w:spacing w:val="-1"/>
          <w:sz w:val="12"/>
          <w:szCs w:val="12"/>
        </w:rPr>
        <w:t xml:space="preserve">The Abrazo c-ACT-LR test reporting units are in seconds. The results are displayed upon test completion. The Abrazo c-ACT-LR test card limits are 70 and </w:t>
      </w:r>
      <w:r w:rsidRPr="00A35D34">
        <w:rPr>
          <w:rFonts w:ascii="Arial" w:hAnsi="Arial" w:cs="Arial"/>
          <w:color w:val="000000"/>
          <w:spacing w:val="-1"/>
          <w:sz w:val="12"/>
          <w:szCs w:val="12"/>
        </w:rPr>
        <w:t>500 seconds. Verify results &lt;70 seconds and &gt; 500 seconds by repeat testing.</w:t>
      </w:r>
    </w:p>
    <w:p w14:paraId="64E389E8"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If a test result appears inconsistent with the patient’s clinical presentation, the result should be verified by testing a fresh sample or evaluated using an alternative diagnostic method.</w:t>
      </w:r>
    </w:p>
    <w:p w14:paraId="082E76C1" w14:textId="77777777" w:rsidR="00A35D34" w:rsidRPr="00A35D34" w:rsidRDefault="00A35D34" w:rsidP="00A35D34">
      <w:pPr>
        <w:autoSpaceDE w:val="0"/>
        <w:autoSpaceDN w:val="0"/>
        <w:adjustRightInd w:val="0"/>
        <w:spacing w:before="2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Limitations</w:t>
      </w:r>
    </w:p>
    <w:p w14:paraId="798E8C0C"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The c-ACT-LR has not been evaluated with low molecular weight heparin (LMWH).</w:t>
      </w:r>
    </w:p>
    <w:p w14:paraId="6C9FA291"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 xml:space="preserve">Test sensitivity to factor deficiencies has not been verified. </w:t>
      </w:r>
      <w:r w:rsidRPr="00A35D34">
        <w:rPr>
          <w:rFonts w:ascii="Arial" w:hAnsi="Arial" w:cs="Arial"/>
          <w:i/>
          <w:iCs/>
          <w:color w:val="000000"/>
          <w:spacing w:val="-1"/>
          <w:sz w:val="12"/>
          <w:szCs w:val="12"/>
        </w:rPr>
        <w:t>In vitro</w:t>
      </w:r>
      <w:r w:rsidRPr="00A35D34">
        <w:rPr>
          <w:rFonts w:ascii="Arial" w:hAnsi="Arial" w:cs="Arial"/>
          <w:color w:val="000000"/>
          <w:spacing w:val="-1"/>
          <w:sz w:val="12"/>
          <w:szCs w:val="12"/>
        </w:rPr>
        <w:t xml:space="preserve"> studies indicate c-ACT-LR results are affected by hemodilution. Blood dilution produced prolonged c-ACT-LR results. The use of c-ACT-LR during cardiac bypass should be limited to before bypass and after heparin reversal.</w:t>
      </w:r>
    </w:p>
    <w:p w14:paraId="432C7868"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Recommended specimen handling procedures should be strictly followed.</w:t>
      </w:r>
    </w:p>
    <w:p w14:paraId="1C13FEA2"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Whole blood samples that are not tested immediately may produce erratic results. When performing a c-ACT-LR test to monitor patients for heparin, avoid handling samples in a manner that could induce the release of PF4 from platelets.</w:t>
      </w:r>
      <w:r w:rsidRPr="00A35D34">
        <w:rPr>
          <w:rFonts w:ascii="Arial" w:hAnsi="Arial" w:cs="Arial"/>
          <w:color w:val="000000"/>
          <w:spacing w:val="-1"/>
          <w:sz w:val="12"/>
          <w:szCs w:val="12"/>
          <w:vertAlign w:val="superscript"/>
        </w:rPr>
        <w:t>6</w:t>
      </w:r>
      <w:r w:rsidRPr="00A35D34">
        <w:rPr>
          <w:rFonts w:ascii="Arial" w:hAnsi="Arial" w:cs="Arial"/>
          <w:color w:val="000000"/>
          <w:spacing w:val="-1"/>
          <w:sz w:val="12"/>
          <w:szCs w:val="12"/>
        </w:rPr>
        <w:t xml:space="preserve"> This includes traumatic collection, refrigeration, or delay in testing or processing.</w:t>
      </w:r>
    </w:p>
    <w:p w14:paraId="461C3FF4" w14:textId="77777777" w:rsidR="00A35D34" w:rsidRPr="00A35D34" w:rsidRDefault="00A35D34" w:rsidP="00A35D34">
      <w:pPr>
        <w:autoSpaceDE w:val="0"/>
        <w:autoSpaceDN w:val="0"/>
        <w:adjustRightInd w:val="0"/>
        <w:spacing w:before="2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Interferences</w:t>
      </w:r>
    </w:p>
    <w:p w14:paraId="44CE48D6"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The presence of oxalate, EDTA or any additive other than sodium citrate can interfere with the test. Hemolysis should not affect the results; however, it is often an indication of poor specimen quality. The Cascade Abrazo c-ACT-LR card uses Celite as an activator, therefore, the presence of aprotinin may result in prolonged clotting times in patients receiving heparin.</w:t>
      </w:r>
      <w:r w:rsidRPr="00A35D34">
        <w:rPr>
          <w:rFonts w:ascii="Arial" w:hAnsi="Arial" w:cs="Arial"/>
          <w:color w:val="000000"/>
          <w:spacing w:val="-1"/>
          <w:sz w:val="12"/>
          <w:szCs w:val="12"/>
          <w:vertAlign w:val="superscript"/>
        </w:rPr>
        <w:t>13</w:t>
      </w:r>
      <w:r w:rsidRPr="00A35D34">
        <w:rPr>
          <w:rFonts w:ascii="Arial" w:hAnsi="Arial" w:cs="Arial"/>
          <w:color w:val="000000"/>
          <w:spacing w:val="-1"/>
          <w:sz w:val="12"/>
          <w:szCs w:val="12"/>
        </w:rPr>
        <w:t xml:space="preserve"> The following table lists those factors that do not normally interfere with the c-ACT-LR test:</w:t>
      </w:r>
    </w:p>
    <w:p w14:paraId="38CD0160" w14:textId="77777777" w:rsidR="00A35D34" w:rsidRPr="00A35D34" w:rsidRDefault="00A35D34" w:rsidP="00A35D34">
      <w:pPr>
        <w:pBdr>
          <w:bottom w:val="single" w:sz="8" w:space="1" w:color="000000"/>
        </w:pBdr>
        <w:tabs>
          <w:tab w:val="left" w:pos="180"/>
          <w:tab w:val="left" w:pos="320"/>
          <w:tab w:val="left" w:pos="980"/>
          <w:tab w:val="left" w:pos="2180"/>
          <w:tab w:val="left" w:pos="3300"/>
        </w:tabs>
        <w:suppressAutoHyphens/>
        <w:autoSpaceDE w:val="0"/>
        <w:autoSpaceDN w:val="0"/>
        <w:adjustRightInd w:val="0"/>
        <w:spacing w:before="20" w:line="288" w:lineRule="auto"/>
        <w:jc w:val="both"/>
        <w:textAlignment w:val="center"/>
        <w:rPr>
          <w:rFonts w:ascii="Arial" w:hAnsi="Arial" w:cs="Arial"/>
          <w:b/>
          <w:bCs/>
          <w:color w:val="000000"/>
          <w:spacing w:val="-1"/>
          <w:sz w:val="12"/>
          <w:szCs w:val="12"/>
        </w:rPr>
      </w:pPr>
      <w:r w:rsidRPr="00A35D34">
        <w:rPr>
          <w:rFonts w:ascii="Arial" w:hAnsi="Arial" w:cs="Arial"/>
          <w:b/>
          <w:bCs/>
          <w:color w:val="000000"/>
          <w:spacing w:val="-1"/>
          <w:sz w:val="12"/>
          <w:szCs w:val="12"/>
        </w:rPr>
        <w:t>Factors</w:t>
      </w:r>
      <w:r w:rsidRPr="00A35D34">
        <w:rPr>
          <w:rFonts w:ascii="Arial" w:hAnsi="Arial" w:cs="Arial"/>
          <w:b/>
          <w:bCs/>
          <w:color w:val="000000"/>
          <w:spacing w:val="-1"/>
          <w:sz w:val="12"/>
          <w:szCs w:val="12"/>
        </w:rPr>
        <w:tab/>
        <w:t>Concentration</w:t>
      </w:r>
      <w:r w:rsidRPr="00A35D34">
        <w:rPr>
          <w:rFonts w:ascii="Arial" w:hAnsi="Arial" w:cs="Arial"/>
          <w:b/>
          <w:bCs/>
          <w:color w:val="000000"/>
          <w:spacing w:val="-1"/>
          <w:sz w:val="12"/>
          <w:szCs w:val="12"/>
        </w:rPr>
        <w:tab/>
        <w:t>Factors</w:t>
      </w:r>
      <w:r w:rsidRPr="00A35D34">
        <w:rPr>
          <w:rFonts w:ascii="Arial" w:hAnsi="Arial" w:cs="Arial"/>
          <w:b/>
          <w:bCs/>
          <w:color w:val="000000"/>
          <w:spacing w:val="-1"/>
          <w:sz w:val="12"/>
          <w:szCs w:val="12"/>
        </w:rPr>
        <w:tab/>
        <w:t>Concentration</w:t>
      </w:r>
    </w:p>
    <w:p w14:paraId="2BBA8C3A" w14:textId="77777777" w:rsidR="00A35D34" w:rsidRPr="00A35D34" w:rsidRDefault="00A35D34" w:rsidP="00A35D34">
      <w:pPr>
        <w:tabs>
          <w:tab w:val="left" w:pos="180"/>
          <w:tab w:val="left" w:pos="320"/>
          <w:tab w:val="left" w:pos="980"/>
          <w:tab w:val="left" w:pos="2180"/>
          <w:tab w:val="left" w:pos="3300"/>
        </w:tabs>
        <w:suppressAutoHyphens/>
        <w:autoSpaceDE w:val="0"/>
        <w:autoSpaceDN w:val="0"/>
        <w:adjustRightInd w:val="0"/>
        <w:spacing w:before="20" w:line="288" w:lineRule="auto"/>
        <w:jc w:val="both"/>
        <w:textAlignment w:val="center"/>
        <w:rPr>
          <w:rFonts w:ascii="Arial" w:hAnsi="Arial" w:cs="Arial"/>
          <w:color w:val="000000"/>
          <w:spacing w:val="-1"/>
          <w:sz w:val="12"/>
          <w:szCs w:val="12"/>
        </w:rPr>
      </w:pPr>
      <w:proofErr w:type="spellStart"/>
      <w:r w:rsidRPr="00A35D34">
        <w:rPr>
          <w:rFonts w:ascii="Arial" w:hAnsi="Arial" w:cs="Arial"/>
          <w:color w:val="000000"/>
          <w:spacing w:val="-1"/>
          <w:sz w:val="12"/>
          <w:szCs w:val="12"/>
        </w:rPr>
        <w:t>Hespan</w:t>
      </w:r>
      <w:proofErr w:type="spellEnd"/>
      <w:r w:rsidRPr="00A35D34">
        <w:rPr>
          <w:rFonts w:ascii="Arial" w:hAnsi="Arial" w:cs="Arial"/>
          <w:color w:val="000000"/>
          <w:spacing w:val="-1"/>
          <w:sz w:val="12"/>
          <w:szCs w:val="12"/>
        </w:rPr>
        <w:tab/>
      </w:r>
      <w:r w:rsidRPr="00A35D34">
        <w:rPr>
          <w:rFonts w:ascii="Arial" w:hAnsi="Arial" w:cs="Arial"/>
          <w:color w:val="000000"/>
          <w:spacing w:val="-1"/>
          <w:sz w:val="12"/>
          <w:szCs w:val="12"/>
          <w:u w:val="thick" w:color="000000"/>
        </w:rPr>
        <w:t>&lt;</w:t>
      </w:r>
      <w:r w:rsidRPr="00A35D34">
        <w:rPr>
          <w:rFonts w:ascii="Arial" w:hAnsi="Arial" w:cs="Arial"/>
          <w:color w:val="000000"/>
          <w:spacing w:val="-1"/>
          <w:sz w:val="12"/>
          <w:szCs w:val="12"/>
        </w:rPr>
        <w:t xml:space="preserve"> 30%</w:t>
      </w:r>
    </w:p>
    <w:p w14:paraId="2EA26A6F" w14:textId="77777777" w:rsidR="00A35D34" w:rsidRPr="00A35D34" w:rsidRDefault="00A35D34" w:rsidP="00A35D34">
      <w:pPr>
        <w:tabs>
          <w:tab w:val="left" w:pos="180"/>
          <w:tab w:val="left" w:pos="320"/>
          <w:tab w:val="left" w:pos="980"/>
          <w:tab w:val="left" w:pos="2180"/>
          <w:tab w:val="left" w:pos="3300"/>
        </w:tabs>
        <w:suppressAutoHyphens/>
        <w:autoSpaceDE w:val="0"/>
        <w:autoSpaceDN w:val="0"/>
        <w:adjustRightInd w:val="0"/>
        <w:spacing w:before="20"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Fibrinogen</w:t>
      </w:r>
      <w:r w:rsidRPr="00A35D34">
        <w:rPr>
          <w:rFonts w:ascii="Arial" w:hAnsi="Arial" w:cs="Arial"/>
          <w:color w:val="000000"/>
          <w:spacing w:val="-1"/>
          <w:sz w:val="12"/>
          <w:szCs w:val="12"/>
        </w:rPr>
        <w:tab/>
        <w:t>&lt; 30 mg/dL</w:t>
      </w:r>
    </w:p>
    <w:p w14:paraId="27D9E43D" w14:textId="77777777" w:rsidR="00A35D34" w:rsidRPr="00A35D34" w:rsidRDefault="00A35D34" w:rsidP="00A35D34">
      <w:pPr>
        <w:tabs>
          <w:tab w:val="left" w:pos="180"/>
          <w:tab w:val="left" w:pos="320"/>
          <w:tab w:val="left" w:pos="980"/>
          <w:tab w:val="left" w:pos="2180"/>
          <w:tab w:val="left" w:pos="3300"/>
        </w:tabs>
        <w:suppressAutoHyphens/>
        <w:autoSpaceDE w:val="0"/>
        <w:autoSpaceDN w:val="0"/>
        <w:adjustRightInd w:val="0"/>
        <w:spacing w:before="20"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Hematocrit</w:t>
      </w:r>
      <w:r w:rsidRPr="00A35D34">
        <w:rPr>
          <w:rFonts w:ascii="Arial" w:hAnsi="Arial" w:cs="Arial"/>
          <w:color w:val="000000"/>
          <w:spacing w:val="-1"/>
          <w:sz w:val="12"/>
          <w:szCs w:val="12"/>
        </w:rPr>
        <w:tab/>
        <w:t>10–60%</w:t>
      </w:r>
      <w:r w:rsidRPr="00A35D34">
        <w:rPr>
          <w:rFonts w:ascii="Arial" w:hAnsi="Arial" w:cs="Arial"/>
          <w:color w:val="000000"/>
          <w:spacing w:val="-1"/>
          <w:sz w:val="12"/>
          <w:szCs w:val="12"/>
        </w:rPr>
        <w:tab/>
        <w:t>Nitroglycerin</w:t>
      </w:r>
      <w:r w:rsidRPr="00A35D34">
        <w:rPr>
          <w:rFonts w:ascii="Arial" w:hAnsi="Arial" w:cs="Arial"/>
          <w:color w:val="000000"/>
          <w:spacing w:val="-1"/>
          <w:sz w:val="12"/>
          <w:szCs w:val="12"/>
        </w:rPr>
        <w:tab/>
      </w:r>
      <w:r w:rsidRPr="00A35D34">
        <w:rPr>
          <w:rFonts w:ascii="Arial" w:hAnsi="Arial" w:cs="Arial"/>
          <w:color w:val="000000"/>
          <w:spacing w:val="-1"/>
          <w:sz w:val="12"/>
          <w:szCs w:val="12"/>
          <w:u w:val="thick" w:color="000000"/>
        </w:rPr>
        <w:t>&lt;</w:t>
      </w:r>
      <w:r w:rsidRPr="00A35D34">
        <w:rPr>
          <w:rFonts w:ascii="Arial" w:hAnsi="Arial" w:cs="Arial"/>
          <w:color w:val="000000"/>
          <w:spacing w:val="-1"/>
          <w:sz w:val="12"/>
          <w:szCs w:val="12"/>
        </w:rPr>
        <w:t xml:space="preserve"> 1000 ng/mL</w:t>
      </w:r>
    </w:p>
    <w:p w14:paraId="6D15CFAD" w14:textId="77777777" w:rsidR="00A35D34" w:rsidRPr="00A35D34" w:rsidRDefault="00A35D34" w:rsidP="00A35D34">
      <w:pPr>
        <w:pBdr>
          <w:bottom w:val="single" w:sz="8" w:space="2" w:color="000000"/>
        </w:pBdr>
        <w:tabs>
          <w:tab w:val="left" w:pos="180"/>
          <w:tab w:val="left" w:pos="320"/>
          <w:tab w:val="left" w:pos="980"/>
          <w:tab w:val="left" w:pos="2180"/>
          <w:tab w:val="left" w:pos="3300"/>
        </w:tabs>
        <w:suppressAutoHyphens/>
        <w:autoSpaceDE w:val="0"/>
        <w:autoSpaceDN w:val="0"/>
        <w:adjustRightInd w:val="0"/>
        <w:spacing w:before="20"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 xml:space="preserve">Bilirubin </w:t>
      </w:r>
      <w:r w:rsidRPr="00A35D34">
        <w:rPr>
          <w:rFonts w:ascii="Arial" w:hAnsi="Arial" w:cs="Arial"/>
          <w:color w:val="000000"/>
          <w:spacing w:val="-1"/>
          <w:sz w:val="12"/>
          <w:szCs w:val="12"/>
        </w:rPr>
        <w:tab/>
        <w:t>0-20 mg/dL</w:t>
      </w:r>
    </w:p>
    <w:p w14:paraId="78CCFFAE" w14:textId="77777777" w:rsidR="00A35D34" w:rsidRPr="00A35D34" w:rsidRDefault="00A35D34" w:rsidP="00A35D34">
      <w:pPr>
        <w:autoSpaceDE w:val="0"/>
        <w:autoSpaceDN w:val="0"/>
        <w:adjustRightInd w:val="0"/>
        <w:spacing w:before="6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Performance Characteristics</w:t>
      </w:r>
    </w:p>
    <w:p w14:paraId="6B799C56"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b/>
          <w:bCs/>
          <w:caps/>
          <w:color w:val="000000"/>
          <w:spacing w:val="-1"/>
          <w:sz w:val="12"/>
          <w:szCs w:val="12"/>
        </w:rPr>
        <w:t>Specificity:</w:t>
      </w:r>
      <w:r w:rsidRPr="00A35D34">
        <w:rPr>
          <w:rFonts w:ascii="Arial" w:hAnsi="Arial" w:cs="Arial"/>
          <w:color w:val="000000"/>
          <w:spacing w:val="-1"/>
          <w:sz w:val="12"/>
          <w:szCs w:val="12"/>
        </w:rPr>
        <w:t xml:space="preserve"> Studies show that in the presence of adequate levels of Antithrombin, the c-ACT-LR test is sensitive to the presence of unfractionated heparin. The c-ACT-LR test is sensitive to heparin with concentrations of up to 3.0 U/</w:t>
      </w:r>
      <w:proofErr w:type="spellStart"/>
      <w:r w:rsidRPr="00A35D34">
        <w:rPr>
          <w:rFonts w:ascii="Arial" w:hAnsi="Arial" w:cs="Arial"/>
          <w:color w:val="000000"/>
          <w:spacing w:val="-1"/>
          <w:sz w:val="12"/>
          <w:szCs w:val="12"/>
        </w:rPr>
        <w:t>mL.</w:t>
      </w:r>
      <w:proofErr w:type="spellEnd"/>
    </w:p>
    <w:p w14:paraId="336F7F43"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b/>
          <w:bCs/>
          <w:caps/>
          <w:color w:val="000000"/>
          <w:spacing w:val="-1"/>
          <w:sz w:val="12"/>
          <w:szCs w:val="12"/>
        </w:rPr>
        <w:t>Precision:</w:t>
      </w:r>
      <w:r w:rsidRPr="00A35D34">
        <w:rPr>
          <w:rFonts w:ascii="Arial" w:hAnsi="Arial" w:cs="Arial"/>
          <w:color w:val="000000"/>
          <w:spacing w:val="-1"/>
          <w:sz w:val="12"/>
          <w:szCs w:val="12"/>
        </w:rPr>
        <w:t xml:space="preserve"> The precision studies were performed using three lots of Cascade Abrazo c-ACT-LR cards and one lot each of Cascade Abrazo c-ACT-LR controls Level 1 and Level 2. The studies were performed by three non-laboratorian (POC) operators at a single site across 6 Cascade Abrazo analyzers over a period of 20 days. Each operator performed 2 runs per day, 2 tests per run on each lot of Abrazo c-ACT-LR test cards.</w:t>
      </w:r>
    </w:p>
    <w:p w14:paraId="5771F618" w14:textId="77777777" w:rsidR="00A35D34" w:rsidRPr="00A35D34" w:rsidRDefault="00A35D34" w:rsidP="00A35D34">
      <w:pPr>
        <w:tabs>
          <w:tab w:val="left" w:pos="200"/>
        </w:tabs>
        <w:suppressAutoHyphens/>
        <w:autoSpaceDE w:val="0"/>
        <w:autoSpaceDN w:val="0"/>
        <w:adjustRightInd w:val="0"/>
        <w:spacing w:before="60" w:line="288" w:lineRule="auto"/>
        <w:jc w:val="both"/>
        <w:textAlignment w:val="center"/>
        <w:rPr>
          <w:rFonts w:ascii="Arial" w:hAnsi="Arial" w:cs="Arial"/>
          <w:b/>
          <w:bCs/>
          <w:color w:val="000000"/>
          <w:spacing w:val="-1"/>
          <w:sz w:val="12"/>
          <w:szCs w:val="12"/>
        </w:rPr>
      </w:pPr>
      <w:r w:rsidRPr="00A35D34">
        <w:rPr>
          <w:rFonts w:ascii="Arial" w:hAnsi="Arial" w:cs="Arial"/>
          <w:b/>
          <w:bCs/>
          <w:color w:val="000000"/>
          <w:spacing w:val="-1"/>
          <w:sz w:val="12"/>
          <w:szCs w:val="12"/>
        </w:rPr>
        <w:t>Within-run, between run, and between day Precision*</w:t>
      </w:r>
    </w:p>
    <w:p w14:paraId="49FADEDE"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b/>
          <w:bCs/>
          <w:color w:val="000000"/>
          <w:spacing w:val="-1"/>
          <w:sz w:val="12"/>
          <w:szCs w:val="12"/>
        </w:rPr>
      </w:pPr>
      <w:r w:rsidRPr="00A35D34">
        <w:rPr>
          <w:rFonts w:ascii="Arial" w:hAnsi="Arial" w:cs="Arial"/>
          <w:b/>
          <w:bCs/>
          <w:color w:val="000000"/>
          <w:spacing w:val="-1"/>
          <w:sz w:val="12"/>
          <w:szCs w:val="12"/>
        </w:rPr>
        <w:t>N=240</w:t>
      </w:r>
    </w:p>
    <w:p w14:paraId="3844D6EC" w14:textId="3E796DBD" w:rsidR="00A35D34" w:rsidRPr="00A35D34" w:rsidRDefault="00A35D34" w:rsidP="00A35D34">
      <w:pPr>
        <w:tabs>
          <w:tab w:val="left" w:pos="200"/>
        </w:tabs>
        <w:suppressAutoHyphens/>
        <w:autoSpaceDE w:val="0"/>
        <w:autoSpaceDN w:val="0"/>
        <w:adjustRightInd w:val="0"/>
        <w:spacing w:before="20" w:line="288" w:lineRule="auto"/>
        <w:textAlignment w:val="center"/>
        <w:rPr>
          <w:rFonts w:ascii="Arial" w:hAnsi="Arial" w:cs="Arial"/>
          <w:b/>
          <w:bCs/>
          <w:color w:val="000000"/>
          <w:spacing w:val="-2"/>
          <w:sz w:val="12"/>
          <w:szCs w:val="12"/>
        </w:rPr>
      </w:pPr>
      <w:r w:rsidRPr="00A35D34">
        <w:rPr>
          <w:rFonts w:ascii="Arial" w:hAnsi="Arial" w:cs="Arial"/>
          <w:b/>
          <w:bCs/>
          <w:color w:val="000000"/>
          <w:spacing w:val="-2"/>
          <w:sz w:val="12"/>
          <w:szCs w:val="12"/>
        </w:rPr>
        <w:drawing>
          <wp:inline distT="0" distB="0" distL="0" distR="0" wp14:anchorId="5373B0E5" wp14:editId="185614BD">
            <wp:extent cx="2755900" cy="419100"/>
            <wp:effectExtent l="0" t="0" r="0" b="0"/>
            <wp:docPr id="174643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32519" name=""/>
                    <pic:cNvPicPr/>
                  </pic:nvPicPr>
                  <pic:blipFill>
                    <a:blip r:embed="rId7"/>
                    <a:stretch>
                      <a:fillRect/>
                    </a:stretch>
                  </pic:blipFill>
                  <pic:spPr>
                    <a:xfrm>
                      <a:off x="0" y="0"/>
                      <a:ext cx="2755900" cy="419100"/>
                    </a:xfrm>
                    <a:prstGeom prst="rect">
                      <a:avLst/>
                    </a:prstGeom>
                  </pic:spPr>
                </pic:pic>
              </a:graphicData>
            </a:graphic>
          </wp:inline>
        </w:drawing>
      </w:r>
    </w:p>
    <w:p w14:paraId="43F5E145" w14:textId="77777777" w:rsidR="00A35D34" w:rsidRPr="00A35D34" w:rsidRDefault="00A35D34" w:rsidP="00A35D34">
      <w:pPr>
        <w:tabs>
          <w:tab w:val="left" w:pos="200"/>
        </w:tabs>
        <w:suppressAutoHyphens/>
        <w:autoSpaceDE w:val="0"/>
        <w:autoSpaceDN w:val="0"/>
        <w:adjustRightInd w:val="0"/>
        <w:spacing w:before="40" w:line="288" w:lineRule="auto"/>
        <w:jc w:val="both"/>
        <w:textAlignment w:val="center"/>
        <w:rPr>
          <w:rFonts w:ascii="Arial" w:hAnsi="Arial" w:cs="Arial"/>
          <w:b/>
          <w:bCs/>
          <w:color w:val="000000"/>
          <w:spacing w:val="-2"/>
          <w:sz w:val="12"/>
          <w:szCs w:val="12"/>
        </w:rPr>
      </w:pPr>
      <w:r w:rsidRPr="00A35D34">
        <w:rPr>
          <w:rFonts w:ascii="Arial" w:hAnsi="Arial" w:cs="Arial"/>
          <w:b/>
          <w:bCs/>
          <w:color w:val="000000"/>
          <w:spacing w:val="-2"/>
          <w:sz w:val="12"/>
          <w:szCs w:val="12"/>
        </w:rPr>
        <w:t>Lot to Lot Precision*</w:t>
      </w:r>
    </w:p>
    <w:p w14:paraId="4ACFDD1F" w14:textId="77777777" w:rsid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b/>
          <w:bCs/>
          <w:color w:val="000000"/>
          <w:spacing w:val="-2"/>
          <w:sz w:val="12"/>
          <w:szCs w:val="12"/>
        </w:rPr>
      </w:pPr>
      <w:r w:rsidRPr="00A35D34">
        <w:rPr>
          <w:rFonts w:ascii="Arial" w:hAnsi="Arial" w:cs="Arial"/>
          <w:b/>
          <w:bCs/>
          <w:color w:val="000000"/>
          <w:spacing w:val="-2"/>
          <w:sz w:val="12"/>
          <w:szCs w:val="12"/>
        </w:rPr>
        <w:t>N=80</w:t>
      </w:r>
    </w:p>
    <w:p w14:paraId="2741EF57" w14:textId="236F2FA6"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b/>
          <w:bCs/>
          <w:color w:val="000000"/>
          <w:spacing w:val="-2"/>
          <w:sz w:val="12"/>
          <w:szCs w:val="12"/>
        </w:rPr>
      </w:pPr>
      <w:r w:rsidRPr="00A35D34">
        <w:rPr>
          <w:rFonts w:ascii="Arial" w:hAnsi="Arial" w:cs="Arial"/>
          <w:b/>
          <w:bCs/>
          <w:color w:val="000000"/>
          <w:spacing w:val="-2"/>
          <w:sz w:val="12"/>
          <w:szCs w:val="12"/>
        </w:rPr>
        <w:drawing>
          <wp:inline distT="0" distB="0" distL="0" distR="0" wp14:anchorId="7B83C499" wp14:editId="091A24DC">
            <wp:extent cx="2755900" cy="431800"/>
            <wp:effectExtent l="0" t="0" r="0" b="0"/>
            <wp:docPr id="1476187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87827" name=""/>
                    <pic:cNvPicPr/>
                  </pic:nvPicPr>
                  <pic:blipFill>
                    <a:blip r:embed="rId8"/>
                    <a:stretch>
                      <a:fillRect/>
                    </a:stretch>
                  </pic:blipFill>
                  <pic:spPr>
                    <a:xfrm>
                      <a:off x="0" y="0"/>
                      <a:ext cx="2755900" cy="431800"/>
                    </a:xfrm>
                    <a:prstGeom prst="rect">
                      <a:avLst/>
                    </a:prstGeom>
                  </pic:spPr>
                </pic:pic>
              </a:graphicData>
            </a:graphic>
          </wp:inline>
        </w:drawing>
      </w:r>
    </w:p>
    <w:p w14:paraId="2362CBED" w14:textId="77777777" w:rsidR="00A35D34" w:rsidRPr="00A35D34" w:rsidRDefault="00A35D34" w:rsidP="00A35D34">
      <w:pPr>
        <w:tabs>
          <w:tab w:val="center" w:pos="2020"/>
          <w:tab w:val="center" w:pos="3400"/>
        </w:tabs>
        <w:suppressAutoHyphens/>
        <w:autoSpaceDE w:val="0"/>
        <w:autoSpaceDN w:val="0"/>
        <w:adjustRightInd w:val="0"/>
        <w:spacing w:before="80" w:line="288" w:lineRule="auto"/>
        <w:jc w:val="both"/>
        <w:textAlignment w:val="center"/>
        <w:rPr>
          <w:rFonts w:ascii="Arial" w:hAnsi="Arial" w:cs="Arial"/>
          <w:b/>
          <w:bCs/>
          <w:color w:val="000000"/>
          <w:spacing w:val="-2"/>
          <w:sz w:val="12"/>
          <w:szCs w:val="12"/>
        </w:rPr>
      </w:pPr>
      <w:r w:rsidRPr="00A35D34">
        <w:rPr>
          <w:rFonts w:ascii="Arial" w:hAnsi="Arial" w:cs="Arial"/>
          <w:b/>
          <w:bCs/>
          <w:color w:val="000000"/>
          <w:spacing w:val="-2"/>
          <w:sz w:val="12"/>
          <w:szCs w:val="12"/>
        </w:rPr>
        <w:t>Operator to Operator Precision*</w:t>
      </w:r>
    </w:p>
    <w:p w14:paraId="2035F886"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b/>
          <w:bCs/>
          <w:color w:val="000000"/>
          <w:spacing w:val="-2"/>
          <w:sz w:val="12"/>
          <w:szCs w:val="12"/>
        </w:rPr>
      </w:pPr>
      <w:r w:rsidRPr="00A35D34">
        <w:rPr>
          <w:rFonts w:ascii="Arial" w:hAnsi="Arial" w:cs="Arial"/>
          <w:b/>
          <w:bCs/>
          <w:color w:val="000000"/>
          <w:spacing w:val="-2"/>
          <w:sz w:val="12"/>
          <w:szCs w:val="12"/>
        </w:rPr>
        <w:t>N=80</w:t>
      </w:r>
    </w:p>
    <w:p w14:paraId="518BF3B6" w14:textId="4484ABBE" w:rsidR="00A35D34" w:rsidRPr="00A35D34" w:rsidRDefault="00A35D34" w:rsidP="00A35D34">
      <w:pPr>
        <w:tabs>
          <w:tab w:val="left" w:pos="200"/>
        </w:tabs>
        <w:suppressAutoHyphens/>
        <w:autoSpaceDE w:val="0"/>
        <w:autoSpaceDN w:val="0"/>
        <w:adjustRightInd w:val="0"/>
        <w:spacing w:before="60"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drawing>
          <wp:inline distT="0" distB="0" distL="0" distR="0" wp14:anchorId="30BD698C" wp14:editId="6D86EB4F">
            <wp:extent cx="2755900" cy="431800"/>
            <wp:effectExtent l="0" t="0" r="0" b="0"/>
            <wp:docPr id="23258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82983" name=""/>
                    <pic:cNvPicPr/>
                  </pic:nvPicPr>
                  <pic:blipFill>
                    <a:blip r:embed="rId9"/>
                    <a:stretch>
                      <a:fillRect/>
                    </a:stretch>
                  </pic:blipFill>
                  <pic:spPr>
                    <a:xfrm>
                      <a:off x="0" y="0"/>
                      <a:ext cx="2755900" cy="431800"/>
                    </a:xfrm>
                    <a:prstGeom prst="rect">
                      <a:avLst/>
                    </a:prstGeom>
                  </pic:spPr>
                </pic:pic>
              </a:graphicData>
            </a:graphic>
          </wp:inline>
        </w:drawing>
      </w:r>
    </w:p>
    <w:p w14:paraId="01116E74" w14:textId="77777777" w:rsidR="00A35D34" w:rsidRPr="00A35D34" w:rsidRDefault="00A35D34" w:rsidP="00A35D34">
      <w:pPr>
        <w:tabs>
          <w:tab w:val="left" w:pos="200"/>
        </w:tabs>
        <w:suppressAutoHyphens/>
        <w:autoSpaceDE w:val="0"/>
        <w:autoSpaceDN w:val="0"/>
        <w:adjustRightInd w:val="0"/>
        <w:spacing w:before="60"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*Precision studies were performed according to EP5-A2.</w:t>
      </w:r>
      <w:r w:rsidRPr="00A35D34">
        <w:rPr>
          <w:rFonts w:ascii="Arial" w:hAnsi="Arial" w:cs="Arial"/>
          <w:smallCaps/>
          <w:color w:val="000000"/>
          <w:spacing w:val="-1"/>
          <w:sz w:val="12"/>
          <w:szCs w:val="12"/>
          <w:vertAlign w:val="superscript"/>
        </w:rPr>
        <w:t>12</w:t>
      </w:r>
    </w:p>
    <w:p w14:paraId="14C709BF" w14:textId="77777777" w:rsidR="00A35D34" w:rsidRPr="00A35D34" w:rsidRDefault="00A35D34" w:rsidP="00A35D34">
      <w:pPr>
        <w:tabs>
          <w:tab w:val="left" w:pos="200"/>
        </w:tabs>
        <w:suppressAutoHyphens/>
        <w:autoSpaceDE w:val="0"/>
        <w:autoSpaceDN w:val="0"/>
        <w:adjustRightInd w:val="0"/>
        <w:spacing w:before="90" w:line="288" w:lineRule="auto"/>
        <w:jc w:val="both"/>
        <w:textAlignment w:val="center"/>
        <w:rPr>
          <w:rFonts w:ascii="Arial" w:hAnsi="Arial" w:cs="Arial"/>
          <w:color w:val="000000"/>
          <w:spacing w:val="-1"/>
          <w:sz w:val="12"/>
          <w:szCs w:val="12"/>
        </w:rPr>
      </w:pPr>
      <w:r w:rsidRPr="00A35D34">
        <w:rPr>
          <w:rFonts w:ascii="Arial" w:hAnsi="Arial" w:cs="Arial"/>
          <w:b/>
          <w:bCs/>
          <w:caps/>
          <w:color w:val="000000"/>
          <w:spacing w:val="-1"/>
          <w:sz w:val="12"/>
          <w:szCs w:val="12"/>
        </w:rPr>
        <w:lastRenderedPageBreak/>
        <w:t>Comparison:</w:t>
      </w:r>
      <w:r w:rsidRPr="00A35D34">
        <w:rPr>
          <w:rFonts w:ascii="Arial" w:hAnsi="Arial" w:cs="Arial"/>
          <w:caps/>
          <w:color w:val="000000"/>
          <w:spacing w:val="-1"/>
          <w:sz w:val="12"/>
          <w:szCs w:val="12"/>
        </w:rPr>
        <w:t xml:space="preserve"> </w:t>
      </w:r>
      <w:r w:rsidRPr="00A35D34">
        <w:rPr>
          <w:rFonts w:ascii="Arial" w:hAnsi="Arial" w:cs="Arial"/>
          <w:color w:val="000000"/>
          <w:spacing w:val="-1"/>
          <w:sz w:val="12"/>
          <w:szCs w:val="12"/>
        </w:rPr>
        <w:t>Clinical studies were conducted using fresh whole blood samples collected from patients undergoing interventional cardiac procedures before, following heparinization, and post-procedure prior to sheath pull. The Abrazo c-</w:t>
      </w:r>
      <w:r w:rsidRPr="00A35D34">
        <w:rPr>
          <w:rFonts w:ascii="Arial" w:hAnsi="Arial" w:cs="Arial"/>
          <w:caps/>
          <w:color w:val="000000"/>
          <w:spacing w:val="-1"/>
          <w:sz w:val="12"/>
          <w:szCs w:val="12"/>
        </w:rPr>
        <w:t>act-lr</w:t>
      </w:r>
      <w:r w:rsidRPr="00A35D34">
        <w:rPr>
          <w:rFonts w:ascii="Arial" w:hAnsi="Arial" w:cs="Arial"/>
          <w:color w:val="000000"/>
          <w:spacing w:val="-1"/>
          <w:sz w:val="12"/>
          <w:szCs w:val="12"/>
        </w:rPr>
        <w:t xml:space="preserve"> test was compared to a commercially available activated clotting time (</w:t>
      </w:r>
      <w:r w:rsidRPr="00A35D34">
        <w:rPr>
          <w:rFonts w:ascii="Arial" w:hAnsi="Arial" w:cs="Arial"/>
          <w:caps/>
          <w:color w:val="000000"/>
          <w:spacing w:val="-1"/>
          <w:sz w:val="12"/>
          <w:szCs w:val="12"/>
        </w:rPr>
        <w:t>act</w:t>
      </w:r>
      <w:r w:rsidRPr="00A35D34">
        <w:rPr>
          <w:rFonts w:ascii="Arial" w:hAnsi="Arial" w:cs="Arial"/>
          <w:color w:val="000000"/>
          <w:spacing w:val="-1"/>
          <w:sz w:val="12"/>
          <w:szCs w:val="12"/>
        </w:rPr>
        <w:t>). Comparisons of 309 whole blood samples gave correlation coefficients of 0.88 for the c-</w:t>
      </w:r>
      <w:r w:rsidRPr="00A35D34">
        <w:rPr>
          <w:rFonts w:ascii="Arial" w:hAnsi="Arial" w:cs="Arial"/>
          <w:caps/>
          <w:color w:val="000000"/>
          <w:spacing w:val="-1"/>
          <w:sz w:val="12"/>
          <w:szCs w:val="12"/>
        </w:rPr>
        <w:t>act-lr</w:t>
      </w:r>
      <w:r w:rsidRPr="00A35D34">
        <w:rPr>
          <w:rFonts w:ascii="Arial" w:hAnsi="Arial" w:cs="Arial"/>
          <w:color w:val="000000"/>
          <w:spacing w:val="-1"/>
          <w:sz w:val="12"/>
          <w:szCs w:val="12"/>
        </w:rPr>
        <w:t xml:space="preserve"> compared to predicate </w:t>
      </w:r>
      <w:r w:rsidRPr="00A35D34">
        <w:rPr>
          <w:rFonts w:ascii="Arial" w:hAnsi="Arial" w:cs="Arial"/>
          <w:caps/>
          <w:color w:val="000000"/>
          <w:spacing w:val="-1"/>
          <w:sz w:val="12"/>
          <w:szCs w:val="12"/>
        </w:rPr>
        <w:t>act</w:t>
      </w:r>
      <w:r w:rsidRPr="00A35D34">
        <w:rPr>
          <w:rFonts w:ascii="Arial" w:hAnsi="Arial" w:cs="Arial"/>
          <w:color w:val="000000"/>
          <w:spacing w:val="-1"/>
          <w:sz w:val="12"/>
          <w:szCs w:val="12"/>
        </w:rPr>
        <w:t>.</w:t>
      </w:r>
    </w:p>
    <w:p w14:paraId="32CDA14E" w14:textId="77777777" w:rsidR="00A35D34" w:rsidRPr="00A35D34" w:rsidRDefault="00A35D34" w:rsidP="00A35D34">
      <w:pPr>
        <w:tabs>
          <w:tab w:val="left" w:pos="200"/>
        </w:tabs>
        <w:suppressAutoHyphens/>
        <w:autoSpaceDE w:val="0"/>
        <w:autoSpaceDN w:val="0"/>
        <w:adjustRightInd w:val="0"/>
        <w:spacing w:before="40"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Clinical studies were conducted using fresh whole blood samples collected from 18 patients, ranging in age from 5 days to 72 years old, undergoing Extracorporeal Membrane Oxygenation (</w:t>
      </w:r>
      <w:r w:rsidRPr="00A35D34">
        <w:rPr>
          <w:rFonts w:ascii="Arial" w:hAnsi="Arial" w:cs="Arial"/>
          <w:caps/>
          <w:color w:val="000000"/>
          <w:spacing w:val="-1"/>
          <w:sz w:val="12"/>
          <w:szCs w:val="12"/>
        </w:rPr>
        <w:t>ecmo</w:t>
      </w:r>
      <w:r w:rsidRPr="00A35D34">
        <w:rPr>
          <w:rFonts w:ascii="Arial" w:hAnsi="Arial" w:cs="Arial"/>
          <w:color w:val="000000"/>
          <w:spacing w:val="-1"/>
          <w:sz w:val="12"/>
          <w:szCs w:val="12"/>
        </w:rPr>
        <w:t xml:space="preserve">). Comparisons of 314 samples with a significance level set to </w:t>
      </w:r>
      <w:r w:rsidRPr="00A35D34">
        <w:rPr>
          <w:rFonts w:ascii="Arial" w:hAnsi="Arial" w:cs="Arial"/>
          <w:i/>
          <w:iCs/>
          <w:color w:val="000000"/>
          <w:spacing w:val="-1"/>
          <w:sz w:val="12"/>
          <w:szCs w:val="12"/>
        </w:rPr>
        <w:t>p</w:t>
      </w:r>
      <w:r w:rsidRPr="00A35D34">
        <w:rPr>
          <w:rFonts w:ascii="Arial" w:hAnsi="Arial" w:cs="Arial"/>
          <w:color w:val="000000"/>
          <w:spacing w:val="-1"/>
          <w:sz w:val="12"/>
          <w:szCs w:val="12"/>
        </w:rPr>
        <w:t xml:space="preserve"> = 0.05 yielded a </w:t>
      </w:r>
      <w:r w:rsidRPr="00A35D34">
        <w:rPr>
          <w:rFonts w:ascii="Arial" w:hAnsi="Arial" w:cs="Arial"/>
          <w:i/>
          <w:iCs/>
          <w:color w:val="000000"/>
          <w:spacing w:val="-1"/>
          <w:sz w:val="12"/>
          <w:szCs w:val="12"/>
        </w:rPr>
        <w:t>p</w:t>
      </w:r>
      <w:r w:rsidRPr="00A35D34">
        <w:rPr>
          <w:rFonts w:ascii="Arial" w:hAnsi="Arial" w:cs="Arial"/>
          <w:color w:val="000000"/>
          <w:spacing w:val="-1"/>
          <w:sz w:val="12"/>
          <w:szCs w:val="12"/>
        </w:rPr>
        <w:t xml:space="preserve"> value of 0.585 demonstrating no statistical difference between the Abrazo c-</w:t>
      </w:r>
      <w:r w:rsidRPr="00A35D34">
        <w:rPr>
          <w:rFonts w:ascii="Arial" w:hAnsi="Arial" w:cs="Arial"/>
          <w:caps/>
          <w:color w:val="000000"/>
          <w:spacing w:val="-1"/>
          <w:sz w:val="12"/>
          <w:szCs w:val="12"/>
        </w:rPr>
        <w:t>act-lr</w:t>
      </w:r>
      <w:r w:rsidRPr="00A35D34">
        <w:rPr>
          <w:rFonts w:ascii="Arial" w:hAnsi="Arial" w:cs="Arial"/>
          <w:color w:val="000000"/>
          <w:spacing w:val="-1"/>
          <w:sz w:val="12"/>
          <w:szCs w:val="12"/>
        </w:rPr>
        <w:t xml:space="preserve"> and the predicate.</w:t>
      </w:r>
    </w:p>
    <w:p w14:paraId="15B2062B" w14:textId="77777777" w:rsidR="00A35D34" w:rsidRPr="00A35D34" w:rsidRDefault="00A35D34" w:rsidP="00A35D34">
      <w:pPr>
        <w:tabs>
          <w:tab w:val="center" w:pos="2020"/>
          <w:tab w:val="center" w:pos="3400"/>
        </w:tabs>
        <w:suppressAutoHyphens/>
        <w:autoSpaceDE w:val="0"/>
        <w:autoSpaceDN w:val="0"/>
        <w:adjustRightInd w:val="0"/>
        <w:spacing w:before="20" w:line="288" w:lineRule="auto"/>
        <w:jc w:val="both"/>
        <w:textAlignment w:val="center"/>
        <w:rPr>
          <w:rFonts w:ascii="Arial" w:hAnsi="Arial" w:cs="Arial"/>
          <w:b/>
          <w:bCs/>
          <w:color w:val="000000"/>
          <w:spacing w:val="-2"/>
          <w:sz w:val="12"/>
          <w:szCs w:val="12"/>
        </w:rPr>
      </w:pPr>
      <w:r w:rsidRPr="00A35D34">
        <w:rPr>
          <w:rFonts w:ascii="Arial" w:hAnsi="Arial" w:cs="Arial"/>
          <w:b/>
          <w:bCs/>
          <w:color w:val="000000"/>
          <w:spacing w:val="-2"/>
          <w:sz w:val="12"/>
          <w:szCs w:val="12"/>
        </w:rPr>
        <w:t>Comparison</w:t>
      </w:r>
    </w:p>
    <w:p w14:paraId="69A34CC3"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b/>
          <w:bCs/>
          <w:color w:val="000000"/>
          <w:spacing w:val="-2"/>
          <w:sz w:val="12"/>
          <w:szCs w:val="12"/>
        </w:rPr>
      </w:pPr>
      <w:r w:rsidRPr="00A35D34">
        <w:rPr>
          <w:rFonts w:ascii="Arial" w:hAnsi="Arial" w:cs="Arial"/>
          <w:b/>
          <w:bCs/>
          <w:color w:val="000000"/>
          <w:spacing w:val="-2"/>
          <w:sz w:val="12"/>
          <w:szCs w:val="12"/>
        </w:rPr>
        <w:t>N=309</w:t>
      </w:r>
    </w:p>
    <w:p w14:paraId="38C4D2AF"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b/>
          <w:bCs/>
          <w:color w:val="000000"/>
          <w:spacing w:val="-2"/>
          <w:sz w:val="12"/>
          <w:szCs w:val="12"/>
        </w:rPr>
      </w:pPr>
      <w:r w:rsidRPr="00A35D34">
        <w:rPr>
          <w:rFonts w:ascii="Arial" w:hAnsi="Arial" w:cs="Arial"/>
          <w:b/>
          <w:bCs/>
          <w:color w:val="000000"/>
          <w:spacing w:val="-2"/>
          <w:sz w:val="12"/>
          <w:szCs w:val="12"/>
        </w:rPr>
        <w:t>R=0.83</w:t>
      </w:r>
    </w:p>
    <w:p w14:paraId="71D34CB4"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2"/>
          <w:sz w:val="12"/>
          <w:szCs w:val="12"/>
        </w:rPr>
      </w:pPr>
      <w:r w:rsidRPr="00A35D34">
        <w:rPr>
          <w:rFonts w:ascii="Arial" w:hAnsi="Arial" w:cs="Arial"/>
          <w:color w:val="000000"/>
          <w:spacing w:val="-2"/>
          <w:sz w:val="12"/>
          <w:szCs w:val="12"/>
        </w:rPr>
        <w:t>Extracorporeal Membrane Oxygenation</w:t>
      </w:r>
    </w:p>
    <w:p w14:paraId="52327A05" w14:textId="77777777" w:rsidR="00A35D34" w:rsidRPr="00A35D34" w:rsidRDefault="00A35D34" w:rsidP="00A35D34">
      <w:pPr>
        <w:tabs>
          <w:tab w:val="left" w:pos="1200"/>
        </w:tabs>
        <w:suppressAutoHyphens/>
        <w:autoSpaceDE w:val="0"/>
        <w:autoSpaceDN w:val="0"/>
        <w:adjustRightInd w:val="0"/>
        <w:spacing w:line="288" w:lineRule="auto"/>
        <w:jc w:val="both"/>
        <w:textAlignment w:val="center"/>
        <w:rPr>
          <w:rFonts w:ascii="Arial" w:hAnsi="Arial" w:cs="Arial"/>
          <w:color w:val="000000"/>
          <w:spacing w:val="-2"/>
          <w:sz w:val="12"/>
          <w:szCs w:val="12"/>
        </w:rPr>
      </w:pPr>
      <w:r w:rsidRPr="00A35D34">
        <w:rPr>
          <w:rFonts w:ascii="Arial" w:hAnsi="Arial" w:cs="Arial"/>
          <w:color w:val="000000"/>
          <w:spacing w:val="-2"/>
          <w:sz w:val="12"/>
          <w:szCs w:val="12"/>
        </w:rPr>
        <w:t>Patients</w:t>
      </w:r>
      <w:r w:rsidRPr="00A35D34">
        <w:rPr>
          <w:rFonts w:ascii="Arial" w:hAnsi="Arial" w:cs="Arial"/>
          <w:color w:val="000000"/>
          <w:spacing w:val="-2"/>
          <w:sz w:val="12"/>
          <w:szCs w:val="12"/>
        </w:rPr>
        <w:tab/>
        <w:t>18</w:t>
      </w:r>
    </w:p>
    <w:p w14:paraId="757FE98E" w14:textId="77777777" w:rsidR="00A35D34" w:rsidRPr="00A35D34" w:rsidRDefault="00A35D34" w:rsidP="00A35D34">
      <w:pPr>
        <w:tabs>
          <w:tab w:val="left" w:pos="1200"/>
        </w:tabs>
        <w:suppressAutoHyphens/>
        <w:autoSpaceDE w:val="0"/>
        <w:autoSpaceDN w:val="0"/>
        <w:adjustRightInd w:val="0"/>
        <w:spacing w:line="288" w:lineRule="auto"/>
        <w:jc w:val="both"/>
        <w:textAlignment w:val="center"/>
        <w:rPr>
          <w:rFonts w:ascii="Arial" w:hAnsi="Arial" w:cs="Arial"/>
          <w:color w:val="000000"/>
          <w:spacing w:val="-2"/>
          <w:sz w:val="12"/>
          <w:szCs w:val="12"/>
        </w:rPr>
      </w:pPr>
      <w:r w:rsidRPr="00A35D34">
        <w:rPr>
          <w:rFonts w:ascii="Arial" w:hAnsi="Arial" w:cs="Arial"/>
          <w:color w:val="000000"/>
          <w:spacing w:val="-2"/>
          <w:sz w:val="12"/>
          <w:szCs w:val="12"/>
        </w:rPr>
        <w:t>Samples</w:t>
      </w:r>
      <w:r w:rsidRPr="00A35D34">
        <w:rPr>
          <w:rFonts w:ascii="Arial" w:hAnsi="Arial" w:cs="Arial"/>
          <w:color w:val="000000"/>
          <w:spacing w:val="-2"/>
          <w:sz w:val="12"/>
          <w:szCs w:val="12"/>
        </w:rPr>
        <w:tab/>
        <w:t>314</w:t>
      </w:r>
    </w:p>
    <w:p w14:paraId="472FE153" w14:textId="77777777" w:rsidR="00A35D34" w:rsidRPr="00A35D34" w:rsidRDefault="00A35D34" w:rsidP="00A35D34">
      <w:pPr>
        <w:tabs>
          <w:tab w:val="left" w:pos="1200"/>
        </w:tabs>
        <w:suppressAutoHyphens/>
        <w:autoSpaceDE w:val="0"/>
        <w:autoSpaceDN w:val="0"/>
        <w:adjustRightInd w:val="0"/>
        <w:spacing w:line="288" w:lineRule="auto"/>
        <w:jc w:val="both"/>
        <w:textAlignment w:val="center"/>
        <w:rPr>
          <w:rFonts w:ascii="Arial" w:hAnsi="Arial" w:cs="Arial"/>
          <w:color w:val="000000"/>
          <w:spacing w:val="-2"/>
          <w:sz w:val="12"/>
          <w:szCs w:val="12"/>
        </w:rPr>
      </w:pPr>
      <w:r w:rsidRPr="00A35D34">
        <w:rPr>
          <w:rFonts w:ascii="Arial" w:hAnsi="Arial" w:cs="Arial"/>
          <w:i/>
          <w:iCs/>
          <w:color w:val="000000"/>
          <w:spacing w:val="-2"/>
          <w:sz w:val="12"/>
          <w:szCs w:val="12"/>
        </w:rPr>
        <w:t>p</w:t>
      </w:r>
      <w:r w:rsidRPr="00A35D34">
        <w:rPr>
          <w:rFonts w:ascii="Arial" w:hAnsi="Arial" w:cs="Arial"/>
          <w:color w:val="000000"/>
          <w:spacing w:val="-2"/>
          <w:sz w:val="12"/>
          <w:szCs w:val="12"/>
        </w:rPr>
        <w:t xml:space="preserve"> significance level</w:t>
      </w:r>
      <w:r w:rsidRPr="00A35D34">
        <w:rPr>
          <w:rFonts w:ascii="Arial" w:hAnsi="Arial" w:cs="Arial"/>
          <w:color w:val="000000"/>
          <w:spacing w:val="-2"/>
          <w:sz w:val="12"/>
          <w:szCs w:val="12"/>
        </w:rPr>
        <w:tab/>
        <w:t>0.05</w:t>
      </w:r>
    </w:p>
    <w:p w14:paraId="12E406FF" w14:textId="77777777" w:rsidR="00A35D34" w:rsidRPr="00A35D34" w:rsidRDefault="00A35D34" w:rsidP="00A35D34">
      <w:pPr>
        <w:tabs>
          <w:tab w:val="left" w:pos="1200"/>
        </w:tabs>
        <w:suppressAutoHyphens/>
        <w:autoSpaceDE w:val="0"/>
        <w:autoSpaceDN w:val="0"/>
        <w:adjustRightInd w:val="0"/>
        <w:spacing w:line="288" w:lineRule="auto"/>
        <w:jc w:val="both"/>
        <w:textAlignment w:val="center"/>
        <w:rPr>
          <w:rFonts w:ascii="Arial" w:hAnsi="Arial" w:cs="Arial"/>
          <w:color w:val="000000"/>
          <w:spacing w:val="-2"/>
          <w:sz w:val="12"/>
          <w:szCs w:val="12"/>
        </w:rPr>
      </w:pPr>
      <w:r w:rsidRPr="00A35D34">
        <w:rPr>
          <w:rFonts w:ascii="Arial" w:hAnsi="Arial" w:cs="Arial"/>
          <w:i/>
          <w:iCs/>
          <w:color w:val="000000"/>
          <w:spacing w:val="-2"/>
          <w:sz w:val="12"/>
          <w:szCs w:val="12"/>
        </w:rPr>
        <w:t>p</w:t>
      </w:r>
      <w:r w:rsidRPr="00A35D34">
        <w:rPr>
          <w:rFonts w:ascii="Arial" w:hAnsi="Arial" w:cs="Arial"/>
          <w:color w:val="000000"/>
          <w:spacing w:val="-2"/>
          <w:sz w:val="12"/>
          <w:szCs w:val="12"/>
        </w:rPr>
        <w:t xml:space="preserve"> value</w:t>
      </w:r>
      <w:r w:rsidRPr="00A35D34">
        <w:rPr>
          <w:rFonts w:ascii="Arial" w:hAnsi="Arial" w:cs="Arial"/>
          <w:color w:val="000000"/>
          <w:spacing w:val="-2"/>
          <w:sz w:val="12"/>
          <w:szCs w:val="12"/>
        </w:rPr>
        <w:tab/>
        <w:t>0.585</w:t>
      </w:r>
    </w:p>
    <w:p w14:paraId="50ED0FF2" w14:textId="77777777" w:rsidR="00A35D34" w:rsidRPr="00A35D34" w:rsidRDefault="00A35D34" w:rsidP="00A35D34">
      <w:pPr>
        <w:tabs>
          <w:tab w:val="left" w:pos="1200"/>
        </w:tabs>
        <w:suppressAutoHyphens/>
        <w:autoSpaceDE w:val="0"/>
        <w:autoSpaceDN w:val="0"/>
        <w:adjustRightInd w:val="0"/>
        <w:spacing w:line="288" w:lineRule="auto"/>
        <w:jc w:val="both"/>
        <w:textAlignment w:val="center"/>
        <w:rPr>
          <w:rFonts w:ascii="Arial" w:hAnsi="Arial" w:cs="Arial"/>
          <w:color w:val="000000"/>
          <w:spacing w:val="-2"/>
          <w:sz w:val="12"/>
          <w:szCs w:val="12"/>
        </w:rPr>
      </w:pPr>
      <w:r w:rsidRPr="00A35D34">
        <w:rPr>
          <w:rFonts w:ascii="Arial" w:hAnsi="Arial" w:cs="Arial"/>
          <w:color w:val="000000"/>
          <w:spacing w:val="-2"/>
          <w:sz w:val="12"/>
          <w:szCs w:val="12"/>
        </w:rPr>
        <w:t>age ranges</w:t>
      </w:r>
      <w:r w:rsidRPr="00A35D34">
        <w:rPr>
          <w:rFonts w:ascii="Arial" w:hAnsi="Arial" w:cs="Arial"/>
          <w:color w:val="000000"/>
          <w:spacing w:val="-2"/>
          <w:sz w:val="12"/>
          <w:szCs w:val="12"/>
        </w:rPr>
        <w:tab/>
        <w:t>5 days to 72 years</w:t>
      </w:r>
    </w:p>
    <w:p w14:paraId="3189904E" w14:textId="77777777" w:rsidR="00A35D34" w:rsidRPr="00A35D34" w:rsidRDefault="00A35D34" w:rsidP="00A35D34">
      <w:pPr>
        <w:autoSpaceDE w:val="0"/>
        <w:autoSpaceDN w:val="0"/>
        <w:adjustRightInd w:val="0"/>
        <w:spacing w:before="2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Heparin Response and Linearity</w:t>
      </w:r>
    </w:p>
    <w:p w14:paraId="0571CE91"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The Abrazo c-ACT-LR cards were tested for heparin response with fresh whole blood to which porcine unfractionated heparin had been added. The linearity of the heparin response was evaluated by CLSI Guideline EP6-A. The data support the claim of linear response from 0.5 to 3 units/mL heparin. Testing was performed on three instruments by a single operator on a single day.</w:t>
      </w:r>
    </w:p>
    <w:p w14:paraId="7A0E3610" w14:textId="77777777" w:rsidR="00A35D34" w:rsidRPr="00A35D34" w:rsidRDefault="00A35D34" w:rsidP="00A35D34">
      <w:pPr>
        <w:tabs>
          <w:tab w:val="left" w:pos="200"/>
        </w:tabs>
        <w:suppressAutoHyphens/>
        <w:autoSpaceDE w:val="0"/>
        <w:autoSpaceDN w:val="0"/>
        <w:adjustRightInd w:val="0"/>
        <w:spacing w:before="20" w:line="288" w:lineRule="auto"/>
        <w:textAlignment w:val="center"/>
        <w:rPr>
          <w:rFonts w:ascii="Arial" w:hAnsi="Arial" w:cs="Arial"/>
          <w:b/>
          <w:bCs/>
          <w:color w:val="000000"/>
          <w:spacing w:val="-1"/>
          <w:sz w:val="12"/>
          <w:szCs w:val="12"/>
        </w:rPr>
      </w:pPr>
      <w:r w:rsidRPr="00A35D34">
        <w:rPr>
          <w:rFonts w:ascii="Arial" w:hAnsi="Arial" w:cs="Arial"/>
          <w:b/>
          <w:bCs/>
          <w:color w:val="000000"/>
          <w:spacing w:val="-1"/>
          <w:sz w:val="12"/>
          <w:szCs w:val="12"/>
        </w:rPr>
        <w:t>Heparin Linearity with the Abrazo c-ACT-LR Test</w:t>
      </w:r>
    </w:p>
    <w:p w14:paraId="0E3CF628" w14:textId="77777777" w:rsidR="00A35D34" w:rsidRDefault="00A35D34" w:rsidP="00A35D34">
      <w:pPr>
        <w:tabs>
          <w:tab w:val="left" w:pos="200"/>
        </w:tabs>
        <w:suppressAutoHyphens/>
        <w:autoSpaceDE w:val="0"/>
        <w:autoSpaceDN w:val="0"/>
        <w:adjustRightInd w:val="0"/>
        <w:spacing w:after="40" w:line="288" w:lineRule="auto"/>
        <w:textAlignment w:val="center"/>
        <w:rPr>
          <w:rFonts w:ascii="Arial" w:hAnsi="Arial" w:cs="Arial"/>
          <w:b/>
          <w:bCs/>
          <w:color w:val="000000"/>
          <w:spacing w:val="-1"/>
          <w:sz w:val="12"/>
          <w:szCs w:val="12"/>
        </w:rPr>
      </w:pPr>
      <w:r w:rsidRPr="00A35D34">
        <w:rPr>
          <w:rFonts w:ascii="Arial" w:hAnsi="Arial" w:cs="Arial"/>
          <w:b/>
          <w:bCs/>
          <w:color w:val="000000"/>
          <w:spacing w:val="-1"/>
          <w:sz w:val="12"/>
          <w:szCs w:val="12"/>
        </w:rPr>
        <w:t>Fresh Whole Blood</w:t>
      </w:r>
    </w:p>
    <w:p w14:paraId="11E55690" w14:textId="1347850F" w:rsidR="00A35D34" w:rsidRPr="00A35D34" w:rsidRDefault="00A35D34" w:rsidP="00A35D34">
      <w:pPr>
        <w:tabs>
          <w:tab w:val="left" w:pos="200"/>
        </w:tabs>
        <w:suppressAutoHyphens/>
        <w:autoSpaceDE w:val="0"/>
        <w:autoSpaceDN w:val="0"/>
        <w:adjustRightInd w:val="0"/>
        <w:spacing w:after="40"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drawing>
          <wp:inline distT="0" distB="0" distL="0" distR="0" wp14:anchorId="39C845F3" wp14:editId="53304947">
            <wp:extent cx="2768600" cy="1054100"/>
            <wp:effectExtent l="0" t="0" r="0" b="0"/>
            <wp:docPr id="267525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25493" name=""/>
                    <pic:cNvPicPr/>
                  </pic:nvPicPr>
                  <pic:blipFill>
                    <a:blip r:embed="rId10"/>
                    <a:stretch>
                      <a:fillRect/>
                    </a:stretch>
                  </pic:blipFill>
                  <pic:spPr>
                    <a:xfrm>
                      <a:off x="0" y="0"/>
                      <a:ext cx="2768600" cy="1054100"/>
                    </a:xfrm>
                    <a:prstGeom prst="rect">
                      <a:avLst/>
                    </a:prstGeom>
                  </pic:spPr>
                </pic:pic>
              </a:graphicData>
            </a:graphic>
          </wp:inline>
        </w:drawing>
      </w:r>
    </w:p>
    <w:p w14:paraId="3DD27A4A" w14:textId="77777777" w:rsidR="00A35D34" w:rsidRDefault="00A35D34" w:rsidP="00A35D34">
      <w:pPr>
        <w:autoSpaceDE w:val="0"/>
        <w:autoSpaceDN w:val="0"/>
        <w:adjustRightInd w:val="0"/>
        <w:spacing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drawing>
          <wp:inline distT="0" distB="0" distL="0" distR="0" wp14:anchorId="7FC00B23" wp14:editId="0578415E">
            <wp:extent cx="2755900" cy="1244600"/>
            <wp:effectExtent l="0" t="0" r="0" b="0"/>
            <wp:docPr id="117078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84648" name=""/>
                    <pic:cNvPicPr/>
                  </pic:nvPicPr>
                  <pic:blipFill>
                    <a:blip r:embed="rId11"/>
                    <a:stretch>
                      <a:fillRect/>
                    </a:stretch>
                  </pic:blipFill>
                  <pic:spPr>
                    <a:xfrm>
                      <a:off x="0" y="0"/>
                      <a:ext cx="2755900" cy="1244600"/>
                    </a:xfrm>
                    <a:prstGeom prst="rect">
                      <a:avLst/>
                    </a:prstGeom>
                  </pic:spPr>
                </pic:pic>
              </a:graphicData>
            </a:graphic>
          </wp:inline>
        </w:drawing>
      </w:r>
    </w:p>
    <w:p w14:paraId="76443410" w14:textId="77777777" w:rsidR="00A35D34" w:rsidRDefault="00A35D34" w:rsidP="00A35D34">
      <w:pPr>
        <w:autoSpaceDE w:val="0"/>
        <w:autoSpaceDN w:val="0"/>
        <w:adjustRightInd w:val="0"/>
        <w:spacing w:line="288" w:lineRule="auto"/>
        <w:textAlignment w:val="center"/>
        <w:rPr>
          <w:rFonts w:ascii="Arial" w:hAnsi="Arial" w:cs="Arial"/>
          <w:b/>
          <w:bCs/>
          <w:caps/>
          <w:color w:val="000000"/>
          <w:sz w:val="14"/>
          <w:szCs w:val="14"/>
        </w:rPr>
      </w:pPr>
    </w:p>
    <w:p w14:paraId="53BC1733" w14:textId="4EAA4C76" w:rsidR="00A35D34" w:rsidRPr="00A35D34" w:rsidRDefault="00A35D34" w:rsidP="00A35D34">
      <w:pPr>
        <w:autoSpaceDE w:val="0"/>
        <w:autoSpaceDN w:val="0"/>
        <w:adjustRightInd w:val="0"/>
        <w:spacing w:line="288" w:lineRule="auto"/>
        <w:textAlignment w:val="center"/>
        <w:rPr>
          <w:rFonts w:ascii="Arial" w:hAnsi="Arial" w:cs="Arial"/>
          <w:b/>
          <w:bCs/>
          <w:caps/>
          <w:color w:val="000000"/>
          <w:sz w:val="14"/>
          <w:szCs w:val="14"/>
        </w:rPr>
      </w:pPr>
      <w:r w:rsidRPr="00A35D34">
        <w:rPr>
          <w:rFonts w:ascii="Arial" w:hAnsi="Arial" w:cs="Arial"/>
          <w:b/>
          <w:bCs/>
          <w:caps/>
          <w:color w:val="000000"/>
          <w:sz w:val="14"/>
          <w:szCs w:val="14"/>
        </w:rPr>
        <w:t>References</w:t>
      </w:r>
    </w:p>
    <w:p w14:paraId="71D2E1FB" w14:textId="757D78AA" w:rsidR="00A35D34" w:rsidRPr="00A35D34" w:rsidRDefault="00A35D34" w:rsidP="00A35D34">
      <w:pPr>
        <w:tabs>
          <w:tab w:val="left" w:pos="240"/>
          <w:tab w:val="left" w:pos="4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1.</w:t>
      </w:r>
      <w:r w:rsidRPr="00A35D34">
        <w:rPr>
          <w:rFonts w:ascii="Arial" w:hAnsi="Arial" w:cs="Arial"/>
          <w:color w:val="000000"/>
          <w:spacing w:val="-1"/>
          <w:sz w:val="12"/>
          <w:szCs w:val="12"/>
        </w:rPr>
        <w:tab/>
        <w:t xml:space="preserve">Porter, J. and </w:t>
      </w:r>
      <w:proofErr w:type="spellStart"/>
      <w:r w:rsidRPr="00A35D34">
        <w:rPr>
          <w:rFonts w:ascii="Arial" w:hAnsi="Arial" w:cs="Arial"/>
          <w:color w:val="000000"/>
          <w:spacing w:val="-1"/>
          <w:sz w:val="12"/>
          <w:szCs w:val="12"/>
        </w:rPr>
        <w:t>Jick</w:t>
      </w:r>
      <w:proofErr w:type="spellEnd"/>
      <w:r w:rsidRPr="00A35D34">
        <w:rPr>
          <w:rFonts w:ascii="Arial" w:hAnsi="Arial" w:cs="Arial"/>
          <w:color w:val="000000"/>
          <w:spacing w:val="-1"/>
          <w:sz w:val="12"/>
          <w:szCs w:val="12"/>
        </w:rPr>
        <w:t>, H: Drug related deaths among medical inpatients. JAMA 237:879, 1977.</w:t>
      </w:r>
    </w:p>
    <w:p w14:paraId="42344DF3" w14:textId="57F88E71" w:rsidR="00A35D34" w:rsidRPr="00A35D34" w:rsidRDefault="00A35D34" w:rsidP="00A35D34">
      <w:pPr>
        <w:tabs>
          <w:tab w:val="left" w:pos="240"/>
          <w:tab w:val="left" w:pos="4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2.</w:t>
      </w:r>
      <w:r w:rsidRPr="00A35D34">
        <w:rPr>
          <w:rFonts w:ascii="Arial" w:hAnsi="Arial" w:cs="Arial"/>
          <w:color w:val="000000"/>
          <w:spacing w:val="-1"/>
          <w:sz w:val="12"/>
          <w:szCs w:val="12"/>
        </w:rPr>
        <w:tab/>
        <w:t xml:space="preserve">Hirsh, J., van </w:t>
      </w:r>
      <w:proofErr w:type="spellStart"/>
      <w:r w:rsidRPr="00A35D34">
        <w:rPr>
          <w:rFonts w:ascii="Arial" w:hAnsi="Arial" w:cs="Arial"/>
          <w:color w:val="000000"/>
          <w:spacing w:val="-1"/>
          <w:sz w:val="12"/>
          <w:szCs w:val="12"/>
        </w:rPr>
        <w:t>Aken</w:t>
      </w:r>
      <w:proofErr w:type="spellEnd"/>
      <w:r w:rsidRPr="00A35D34">
        <w:rPr>
          <w:rFonts w:ascii="Arial" w:hAnsi="Arial" w:cs="Arial"/>
          <w:color w:val="000000"/>
          <w:spacing w:val="-1"/>
          <w:sz w:val="12"/>
          <w:szCs w:val="12"/>
        </w:rPr>
        <w:t>, W.G., Gallus, A.S., et al: Heparin kinetics in venous thrombosis and pulmonary embolism. Circulation 53: 691, 1976.</w:t>
      </w:r>
    </w:p>
    <w:p w14:paraId="6B9F2F2D" w14:textId="2B0E2044" w:rsidR="00A35D34" w:rsidRPr="00A35D34" w:rsidRDefault="00A35D34" w:rsidP="00A35D34">
      <w:pPr>
        <w:tabs>
          <w:tab w:val="left" w:pos="240"/>
          <w:tab w:val="left" w:pos="4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3.</w:t>
      </w:r>
      <w:r w:rsidRPr="00A35D34">
        <w:rPr>
          <w:rFonts w:ascii="Arial" w:hAnsi="Arial" w:cs="Arial"/>
          <w:color w:val="000000"/>
          <w:spacing w:val="-1"/>
          <w:sz w:val="12"/>
          <w:szCs w:val="12"/>
        </w:rPr>
        <w:tab/>
      </w:r>
      <w:proofErr w:type="spellStart"/>
      <w:r w:rsidRPr="00A35D34">
        <w:rPr>
          <w:rFonts w:ascii="Arial" w:hAnsi="Arial" w:cs="Arial"/>
          <w:color w:val="000000"/>
          <w:spacing w:val="-1"/>
          <w:sz w:val="12"/>
          <w:szCs w:val="12"/>
        </w:rPr>
        <w:t>Jick</w:t>
      </w:r>
      <w:proofErr w:type="spellEnd"/>
      <w:r w:rsidRPr="00A35D34">
        <w:rPr>
          <w:rFonts w:ascii="Arial" w:hAnsi="Arial" w:cs="Arial"/>
          <w:color w:val="000000"/>
          <w:spacing w:val="-1"/>
          <w:sz w:val="12"/>
          <w:szCs w:val="12"/>
        </w:rPr>
        <w:t xml:space="preserve">, H., Sloane, D., </w:t>
      </w:r>
      <w:proofErr w:type="spellStart"/>
      <w:r w:rsidRPr="00A35D34">
        <w:rPr>
          <w:rFonts w:ascii="Arial" w:hAnsi="Arial" w:cs="Arial"/>
          <w:color w:val="000000"/>
          <w:spacing w:val="-1"/>
          <w:sz w:val="12"/>
          <w:szCs w:val="12"/>
        </w:rPr>
        <w:t>Borda</w:t>
      </w:r>
      <w:proofErr w:type="spellEnd"/>
      <w:r w:rsidRPr="00A35D34">
        <w:rPr>
          <w:rFonts w:ascii="Arial" w:hAnsi="Arial" w:cs="Arial"/>
          <w:color w:val="000000"/>
          <w:spacing w:val="-1"/>
          <w:sz w:val="12"/>
          <w:szCs w:val="12"/>
        </w:rPr>
        <w:t>, I.T. and Shapiro, S: Efficacy and toxicity of heparin in relation to age and sex. New Eng. J. Med. 279:284, 1968.</w:t>
      </w:r>
    </w:p>
    <w:p w14:paraId="54E1D1A0" w14:textId="1E3D2701" w:rsidR="00A35D34" w:rsidRPr="00A35D34" w:rsidRDefault="00A35D34" w:rsidP="00A35D34">
      <w:pPr>
        <w:tabs>
          <w:tab w:val="left" w:pos="240"/>
          <w:tab w:val="left" w:pos="4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4.</w:t>
      </w:r>
      <w:r w:rsidRPr="00A35D34">
        <w:rPr>
          <w:rFonts w:ascii="Arial" w:hAnsi="Arial" w:cs="Arial"/>
          <w:color w:val="000000"/>
          <w:spacing w:val="-1"/>
          <w:sz w:val="12"/>
          <w:szCs w:val="12"/>
        </w:rPr>
        <w:tab/>
        <w:t xml:space="preserve">Clinical and Laboratory Standards Institute: Procedures for the Collection of Diagnostic Blood Specimens by Venipuncture; Approved Guideline, CLSI </w:t>
      </w:r>
      <w:proofErr w:type="gramStart"/>
      <w:r w:rsidRPr="00A35D34">
        <w:rPr>
          <w:rFonts w:ascii="Arial" w:hAnsi="Arial" w:cs="Arial"/>
          <w:color w:val="000000"/>
          <w:spacing w:val="-1"/>
          <w:sz w:val="12"/>
          <w:szCs w:val="12"/>
        </w:rPr>
        <w:t>Document  H</w:t>
      </w:r>
      <w:proofErr w:type="gramEnd"/>
      <w:r w:rsidRPr="00A35D34">
        <w:rPr>
          <w:rFonts w:ascii="Arial" w:hAnsi="Arial" w:cs="Arial"/>
          <w:color w:val="000000"/>
          <w:spacing w:val="-1"/>
          <w:sz w:val="12"/>
          <w:szCs w:val="12"/>
        </w:rPr>
        <w:t>03-A6, Vol. 27, No. 26, 2007.</w:t>
      </w:r>
    </w:p>
    <w:p w14:paraId="7633BFC3" w14:textId="1AB148A8" w:rsidR="00A35D34" w:rsidRPr="00A35D34" w:rsidRDefault="00A35D34" w:rsidP="00A35D34">
      <w:pPr>
        <w:tabs>
          <w:tab w:val="left" w:pos="240"/>
          <w:tab w:val="left" w:pos="4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5.</w:t>
      </w:r>
      <w:r w:rsidRPr="00A35D34">
        <w:rPr>
          <w:rFonts w:ascii="Arial" w:hAnsi="Arial" w:cs="Arial"/>
          <w:color w:val="000000"/>
          <w:spacing w:val="-1"/>
          <w:sz w:val="12"/>
          <w:szCs w:val="12"/>
        </w:rPr>
        <w:tab/>
        <w:t>Clinical and Laboratory Standards Institute: Procedures for the Collection of Arterial Blood Specimens; Approved Guideline, CLSI Document H11-A4, Vol. 24, No. 28, 2004.</w:t>
      </w:r>
    </w:p>
    <w:p w14:paraId="3A509779" w14:textId="51613EC1" w:rsidR="00A35D34" w:rsidRPr="00A35D34" w:rsidRDefault="00A35D34" w:rsidP="00A35D34">
      <w:pPr>
        <w:tabs>
          <w:tab w:val="left" w:pos="240"/>
          <w:tab w:val="left" w:pos="4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6.</w:t>
      </w:r>
      <w:r w:rsidRPr="00A35D34">
        <w:rPr>
          <w:rFonts w:ascii="Arial" w:hAnsi="Arial" w:cs="Arial"/>
          <w:color w:val="000000"/>
          <w:spacing w:val="-1"/>
          <w:sz w:val="12"/>
          <w:szCs w:val="12"/>
        </w:rPr>
        <w:tab/>
        <w:t xml:space="preserve">Clinical and Laboratory Standards: Point -of-Care Monitoring of </w:t>
      </w:r>
      <w:proofErr w:type="spellStart"/>
      <w:r w:rsidRPr="00A35D34">
        <w:rPr>
          <w:rFonts w:ascii="Arial" w:hAnsi="Arial" w:cs="Arial"/>
          <w:color w:val="000000"/>
          <w:spacing w:val="-1"/>
          <w:sz w:val="12"/>
          <w:szCs w:val="12"/>
        </w:rPr>
        <w:t>Anticoagultion</w:t>
      </w:r>
      <w:proofErr w:type="spellEnd"/>
      <w:r w:rsidRPr="00A35D34">
        <w:rPr>
          <w:rFonts w:ascii="Arial" w:hAnsi="Arial" w:cs="Arial"/>
          <w:color w:val="000000"/>
          <w:spacing w:val="-1"/>
          <w:sz w:val="12"/>
          <w:szCs w:val="12"/>
        </w:rPr>
        <w:t xml:space="preserve"> Therapy, Approved Guideline, CLSI Document H49-A, Vol. 24, No. 23, 2004.</w:t>
      </w:r>
    </w:p>
    <w:p w14:paraId="40CFCBB5" w14:textId="5732C29F" w:rsidR="00A35D34" w:rsidRPr="00A35D34" w:rsidRDefault="00A35D34" w:rsidP="00A35D34">
      <w:pPr>
        <w:tabs>
          <w:tab w:val="left" w:pos="240"/>
          <w:tab w:val="left" w:pos="4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7.</w:t>
      </w:r>
      <w:r w:rsidRPr="00A35D34">
        <w:rPr>
          <w:rFonts w:ascii="Arial" w:hAnsi="Arial" w:cs="Arial"/>
          <w:color w:val="000000"/>
          <w:spacing w:val="-1"/>
          <w:sz w:val="12"/>
          <w:szCs w:val="12"/>
        </w:rPr>
        <w:tab/>
        <w:t>Clinical And Laboratory Standards Institute. Point-Of-Care In Vitro Diagnostic (</w:t>
      </w:r>
      <w:r w:rsidRPr="00A35D34">
        <w:rPr>
          <w:rFonts w:ascii="Arial" w:hAnsi="Arial" w:cs="Arial"/>
          <w:caps/>
          <w:color w:val="000000"/>
          <w:spacing w:val="-1"/>
          <w:sz w:val="12"/>
          <w:szCs w:val="12"/>
        </w:rPr>
        <w:t>Ivd</w:t>
      </w:r>
      <w:r w:rsidRPr="00A35D34">
        <w:rPr>
          <w:rFonts w:ascii="Arial" w:hAnsi="Arial" w:cs="Arial"/>
          <w:color w:val="000000"/>
          <w:spacing w:val="-1"/>
          <w:sz w:val="12"/>
          <w:szCs w:val="12"/>
        </w:rPr>
        <w:t xml:space="preserve">) Testing; Approved Guideline. </w:t>
      </w:r>
      <w:r w:rsidRPr="00A35D34">
        <w:rPr>
          <w:rFonts w:ascii="Arial" w:hAnsi="Arial" w:cs="Arial"/>
          <w:caps/>
          <w:color w:val="000000"/>
          <w:spacing w:val="-1"/>
          <w:sz w:val="12"/>
          <w:szCs w:val="12"/>
        </w:rPr>
        <w:t>clsi</w:t>
      </w:r>
      <w:r w:rsidRPr="00A35D34">
        <w:rPr>
          <w:rFonts w:ascii="Arial" w:hAnsi="Arial" w:cs="Arial"/>
          <w:color w:val="000000"/>
          <w:spacing w:val="-1"/>
          <w:sz w:val="12"/>
          <w:szCs w:val="12"/>
        </w:rPr>
        <w:t xml:space="preserve"> Document POCT4-A2, Vol. 26, No. 30, 2006.</w:t>
      </w:r>
    </w:p>
    <w:p w14:paraId="7EC6B4EB" w14:textId="247FD59E" w:rsidR="00A35D34" w:rsidRPr="00A35D34" w:rsidRDefault="00A35D34" w:rsidP="00A35D34">
      <w:pPr>
        <w:tabs>
          <w:tab w:val="left" w:pos="240"/>
          <w:tab w:val="left" w:pos="4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8.</w:t>
      </w:r>
      <w:r w:rsidRPr="00A35D34">
        <w:rPr>
          <w:rFonts w:ascii="Arial" w:hAnsi="Arial" w:cs="Arial"/>
          <w:color w:val="000000"/>
          <w:spacing w:val="-1"/>
          <w:sz w:val="12"/>
          <w:szCs w:val="12"/>
        </w:rPr>
        <w:tab/>
        <w:t>Centers for Disease Control. Update: Universal precautions for prevention of transmission of human immunodeficiency virus, hepatitis B virus and other bloodborne pathogens in healthcare settings. MMWR, 1988; 37: 377–82, 387–8.</w:t>
      </w:r>
    </w:p>
    <w:p w14:paraId="2817973B" w14:textId="21E9E195" w:rsidR="00A35D34" w:rsidRPr="00A35D34" w:rsidRDefault="00A35D34" w:rsidP="00A35D34">
      <w:pPr>
        <w:tabs>
          <w:tab w:val="left" w:pos="240"/>
          <w:tab w:val="left" w:pos="4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9.</w:t>
      </w:r>
      <w:r w:rsidRPr="00A35D34">
        <w:rPr>
          <w:rFonts w:ascii="Arial" w:hAnsi="Arial" w:cs="Arial"/>
          <w:color w:val="000000"/>
          <w:spacing w:val="-1"/>
          <w:sz w:val="12"/>
          <w:szCs w:val="12"/>
        </w:rPr>
        <w:tab/>
        <w:t>Federal Occupational Safety and Health Administration. Bloodborne Pathogens Standard. 29 CFR 1910.1030.</w:t>
      </w:r>
    </w:p>
    <w:p w14:paraId="2C116FA7" w14:textId="1C5FCA8A" w:rsidR="00A35D34" w:rsidRPr="00A35D34" w:rsidRDefault="00A35D34" w:rsidP="00A35D34">
      <w:pPr>
        <w:tabs>
          <w:tab w:val="left" w:pos="240"/>
          <w:tab w:val="left" w:pos="4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10.</w:t>
      </w:r>
      <w:r w:rsidRPr="00A35D34">
        <w:rPr>
          <w:rFonts w:ascii="Arial" w:hAnsi="Arial" w:cs="Arial"/>
          <w:color w:val="000000"/>
          <w:spacing w:val="-1"/>
          <w:sz w:val="12"/>
          <w:szCs w:val="12"/>
        </w:rPr>
        <w:tab/>
        <w:t>Biosafety in Microbiological and Biomedical Laboratories, U.S. Department of Health and Human Services, Washington [HHS Publication No. (CDC) 93-8395] 1993.</w:t>
      </w:r>
    </w:p>
    <w:p w14:paraId="33F51C81" w14:textId="0B000F83" w:rsidR="00A35D34" w:rsidRPr="00A35D34" w:rsidRDefault="00A35D34" w:rsidP="00A35D34">
      <w:pPr>
        <w:tabs>
          <w:tab w:val="left" w:pos="240"/>
          <w:tab w:val="left" w:pos="4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11.</w:t>
      </w:r>
      <w:r w:rsidRPr="00A35D34">
        <w:rPr>
          <w:rFonts w:ascii="Arial" w:hAnsi="Arial" w:cs="Arial"/>
          <w:color w:val="000000"/>
          <w:spacing w:val="-1"/>
          <w:sz w:val="12"/>
          <w:szCs w:val="12"/>
        </w:rPr>
        <w:tab/>
        <w:t>Clinical and Laboratory Standards Institute. Defining, Establishing, and Verifying Reference Intervals in the Clinical Laboratory; Approved Guideline. CLSI Document C28-A3c, Vol. 28, No. 30. 2008.</w:t>
      </w:r>
    </w:p>
    <w:p w14:paraId="5D535B9A" w14:textId="36A5A036" w:rsidR="00A35D34" w:rsidRPr="00A35D34" w:rsidRDefault="00A35D34" w:rsidP="00A35D34">
      <w:pPr>
        <w:tabs>
          <w:tab w:val="left" w:pos="240"/>
          <w:tab w:val="left" w:pos="4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12.</w:t>
      </w:r>
      <w:r w:rsidRPr="00A35D34">
        <w:rPr>
          <w:rFonts w:ascii="Arial" w:hAnsi="Arial" w:cs="Arial"/>
          <w:color w:val="000000"/>
          <w:spacing w:val="-1"/>
          <w:sz w:val="12"/>
          <w:szCs w:val="12"/>
        </w:rPr>
        <w:tab/>
        <w:t>Clinical and Laboratory and Standards Institute: Evaluation of Precision Performance of Quantitative Measurement Methods: Approved Guideline. CLSI Document EP05-A2, 2004.</w:t>
      </w:r>
    </w:p>
    <w:p w14:paraId="61EDFB82" w14:textId="598DF966" w:rsidR="00A35D34" w:rsidRPr="00A35D34" w:rsidRDefault="00A35D34" w:rsidP="00A35D34">
      <w:pPr>
        <w:tabs>
          <w:tab w:val="left" w:pos="240"/>
          <w:tab w:val="left" w:pos="46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13.</w:t>
      </w:r>
      <w:r w:rsidRPr="00A35D34">
        <w:rPr>
          <w:rFonts w:ascii="Arial" w:hAnsi="Arial" w:cs="Arial"/>
          <w:color w:val="000000"/>
          <w:spacing w:val="-1"/>
          <w:sz w:val="12"/>
          <w:szCs w:val="12"/>
        </w:rPr>
        <w:tab/>
        <w:t xml:space="preserve">Wang J-S, Lin C-Y, Hung W-T, </w:t>
      </w:r>
      <w:proofErr w:type="spellStart"/>
      <w:r w:rsidRPr="00A35D34">
        <w:rPr>
          <w:rFonts w:ascii="Arial" w:hAnsi="Arial" w:cs="Arial"/>
          <w:color w:val="000000"/>
          <w:spacing w:val="-1"/>
          <w:sz w:val="12"/>
          <w:szCs w:val="12"/>
        </w:rPr>
        <w:t>Thisted</w:t>
      </w:r>
      <w:proofErr w:type="spellEnd"/>
      <w:r w:rsidRPr="00A35D34">
        <w:rPr>
          <w:rFonts w:ascii="Arial" w:hAnsi="Arial" w:cs="Arial"/>
          <w:color w:val="000000"/>
          <w:spacing w:val="-1"/>
          <w:sz w:val="12"/>
          <w:szCs w:val="12"/>
        </w:rPr>
        <w:t xml:space="preserve"> RA, Karp RB: In vitro effects of aprotinin on Activated Clotting Time measured with different activators. J </w:t>
      </w:r>
      <w:proofErr w:type="spellStart"/>
      <w:r w:rsidRPr="00A35D34">
        <w:rPr>
          <w:rFonts w:ascii="Arial" w:hAnsi="Arial" w:cs="Arial"/>
          <w:color w:val="000000"/>
          <w:spacing w:val="-1"/>
          <w:sz w:val="12"/>
          <w:szCs w:val="12"/>
        </w:rPr>
        <w:t>Thorac</w:t>
      </w:r>
      <w:proofErr w:type="spellEnd"/>
      <w:r w:rsidRPr="00A35D34">
        <w:rPr>
          <w:rFonts w:ascii="Arial" w:hAnsi="Arial" w:cs="Arial"/>
          <w:color w:val="000000"/>
          <w:spacing w:val="-1"/>
          <w:sz w:val="12"/>
          <w:szCs w:val="12"/>
        </w:rPr>
        <w:t xml:space="preserve"> Cardiovasc Surg 104, 4: 1135-1140, 1992.</w:t>
      </w:r>
    </w:p>
    <w:p w14:paraId="01D69EE5" w14:textId="77777777" w:rsidR="00A35D34" w:rsidRPr="00A35D34" w:rsidRDefault="00A35D34" w:rsidP="00A35D34">
      <w:pPr>
        <w:tabs>
          <w:tab w:val="left" w:pos="200"/>
        </w:tabs>
        <w:suppressAutoHyphens/>
        <w:autoSpaceDE w:val="0"/>
        <w:autoSpaceDN w:val="0"/>
        <w:adjustRightInd w:val="0"/>
        <w:spacing w:before="60"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Celite</w:t>
      </w:r>
      <w:r w:rsidRPr="00A35D34">
        <w:rPr>
          <w:rFonts w:ascii="Arial" w:hAnsi="Arial" w:cs="Arial"/>
          <w:color w:val="000000"/>
          <w:spacing w:val="-1"/>
          <w:sz w:val="12"/>
          <w:szCs w:val="12"/>
          <w:vertAlign w:val="superscript"/>
        </w:rPr>
        <w:t>®</w:t>
      </w:r>
      <w:r w:rsidRPr="00A35D34">
        <w:rPr>
          <w:rFonts w:ascii="Arial" w:hAnsi="Arial" w:cs="Arial"/>
          <w:color w:val="000000"/>
          <w:spacing w:val="-1"/>
          <w:sz w:val="12"/>
          <w:szCs w:val="12"/>
        </w:rPr>
        <w:t xml:space="preserve"> is a registered trademark of Celite Corporation.</w:t>
      </w:r>
    </w:p>
    <w:p w14:paraId="219A638D" w14:textId="77777777" w:rsidR="00A35D34" w:rsidRPr="00A35D34" w:rsidRDefault="00A35D34" w:rsidP="00A35D34">
      <w:pPr>
        <w:tabs>
          <w:tab w:val="left" w:pos="200"/>
        </w:tabs>
        <w:suppressAutoHyphens/>
        <w:autoSpaceDE w:val="0"/>
        <w:autoSpaceDN w:val="0"/>
        <w:adjustRightInd w:val="0"/>
        <w:spacing w:before="60" w:line="288" w:lineRule="auto"/>
        <w:jc w:val="both"/>
        <w:textAlignment w:val="center"/>
        <w:rPr>
          <w:rFonts w:ascii="Arial" w:hAnsi="Arial" w:cs="Arial"/>
          <w:color w:val="000000"/>
          <w:spacing w:val="-1"/>
          <w:sz w:val="16"/>
          <w:szCs w:val="16"/>
        </w:rPr>
      </w:pPr>
      <w:r w:rsidRPr="00A35D34">
        <w:rPr>
          <w:rFonts w:ascii="Arial" w:hAnsi="Arial" w:cs="Arial"/>
          <w:color w:val="000000"/>
          <w:spacing w:val="-1"/>
          <w:sz w:val="16"/>
          <w:szCs w:val="16"/>
        </w:rPr>
        <w:t>For Sales, Technical and Order Information and Service Assistance, call 800-231-5663 toll free.</w:t>
      </w:r>
    </w:p>
    <w:p w14:paraId="3AE9E015" w14:textId="77777777" w:rsidR="00A35D34" w:rsidRPr="00A35D34" w:rsidRDefault="00A35D34" w:rsidP="00A35D34">
      <w:pPr>
        <w:tabs>
          <w:tab w:val="left" w:pos="200"/>
        </w:tabs>
        <w:suppressAutoHyphens/>
        <w:autoSpaceDE w:val="0"/>
        <w:autoSpaceDN w:val="0"/>
        <w:adjustRightInd w:val="0"/>
        <w:spacing w:before="90"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39465787"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 xml:space="preserve">In no case will Helena Laboratories be liable for consequential damages even if Helena has been advised as to the possibility of such damages. </w:t>
      </w:r>
    </w:p>
    <w:p w14:paraId="5A989DF9"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w:hAnsi="Arial" w:cs="Arial"/>
          <w:color w:val="000000"/>
          <w:spacing w:val="-1"/>
          <w:sz w:val="12"/>
          <w:szCs w:val="12"/>
        </w:rPr>
      </w:pPr>
      <w:r w:rsidRPr="00A35D34">
        <w:rPr>
          <w:rFonts w:ascii="Arial" w:hAnsi="Arial" w:cs="Arial"/>
          <w:color w:val="000000"/>
          <w:spacing w:val="-1"/>
          <w:sz w:val="12"/>
          <w:szCs w:val="12"/>
        </w:rPr>
        <w:t>The foregoing warranties are in lieu of all warranties expressed or implied including, but not limited to, the implied warranties of merchantability and fitness for a particular purpose.</w:t>
      </w:r>
    </w:p>
    <w:p w14:paraId="2BF141AF" w14:textId="77777777" w:rsidR="00A35D34" w:rsidRPr="00A35D34" w:rsidRDefault="00A35D34" w:rsidP="00A35D34">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p>
    <w:p w14:paraId="6171A373" w14:textId="77777777" w:rsidR="00A35D34" w:rsidRPr="00A35D34" w:rsidRDefault="00A35D34" w:rsidP="00A35D34">
      <w:pPr>
        <w:tabs>
          <w:tab w:val="left" w:pos="720"/>
          <w:tab w:val="left" w:pos="3975"/>
          <w:tab w:val="left" w:pos="7530"/>
        </w:tabs>
        <w:autoSpaceDE w:val="0"/>
        <w:autoSpaceDN w:val="0"/>
        <w:adjustRightInd w:val="0"/>
        <w:spacing w:line="288" w:lineRule="auto"/>
        <w:textAlignment w:val="center"/>
        <w:rPr>
          <w:rFonts w:ascii="Arial MT Std" w:hAnsi="Arial MT Std" w:cs="Arial MT Std"/>
          <w:color w:val="000000"/>
          <w:sz w:val="14"/>
          <w:szCs w:val="14"/>
        </w:rPr>
      </w:pPr>
    </w:p>
    <w:p w14:paraId="5F985A8D" w14:textId="77777777" w:rsidR="00A35D34" w:rsidRPr="00A35D34" w:rsidRDefault="00A35D34" w:rsidP="00A35D34">
      <w:pPr>
        <w:tabs>
          <w:tab w:val="left" w:pos="720"/>
          <w:tab w:val="left" w:pos="3975"/>
          <w:tab w:val="left" w:pos="7530"/>
        </w:tabs>
        <w:suppressAutoHyphens/>
        <w:autoSpaceDE w:val="0"/>
        <w:autoSpaceDN w:val="0"/>
        <w:adjustRightInd w:val="0"/>
        <w:spacing w:before="270" w:line="288" w:lineRule="auto"/>
        <w:jc w:val="both"/>
        <w:textAlignment w:val="center"/>
        <w:rPr>
          <w:rFonts w:ascii="Arial MT Std" w:hAnsi="Arial MT Std" w:cs="Arial MT Std"/>
          <w:color w:val="000000"/>
          <w:spacing w:val="-1"/>
          <w:sz w:val="12"/>
          <w:szCs w:val="12"/>
        </w:rPr>
      </w:pPr>
    </w:p>
    <w:p w14:paraId="72D6C303" w14:textId="409B9106" w:rsidR="00A35D34" w:rsidRPr="00A35D34" w:rsidRDefault="00A35D34" w:rsidP="00A35D34">
      <w:pPr>
        <w:tabs>
          <w:tab w:val="left" w:pos="640"/>
          <w:tab w:val="left" w:pos="3975"/>
          <w:tab w:val="left" w:pos="7530"/>
        </w:tab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887ED3">
        <w:rPr>
          <w:rFonts w:ascii="Arial Narrow" w:hAnsi="Arial Narrow" w:cs="Arial Narrow"/>
          <w:noProof/>
          <w:color w:val="000000"/>
          <w:spacing w:val="-1"/>
          <w:sz w:val="16"/>
          <w:szCs w:val="16"/>
        </w:rPr>
        <w:drawing>
          <wp:anchor distT="0" distB="0" distL="114300" distR="114300" simplePos="0" relativeHeight="251662336" behindDoc="1" locked="0" layoutInCell="1" allowOverlap="1" wp14:anchorId="58DEF345" wp14:editId="04BACD67">
            <wp:simplePos x="0" y="0"/>
            <wp:positionH relativeFrom="column">
              <wp:posOffset>0</wp:posOffset>
            </wp:positionH>
            <wp:positionV relativeFrom="paragraph">
              <wp:posOffset>9310</wp:posOffset>
            </wp:positionV>
            <wp:extent cx="254000" cy="254000"/>
            <wp:effectExtent l="0" t="0" r="0" b="0"/>
            <wp:wrapTight wrapText="bothSides">
              <wp:wrapPolygon edited="0">
                <wp:start x="14040" y="0"/>
                <wp:lineTo x="0" y="5400"/>
                <wp:lineTo x="0" y="20520"/>
                <wp:lineTo x="20520" y="20520"/>
                <wp:lineTo x="20520" y="0"/>
                <wp:lineTo x="1404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A35D34">
        <w:rPr>
          <w:rFonts w:ascii="Arial Narrow" w:hAnsi="Arial Narrow" w:cs="Arial Narrow"/>
          <w:color w:val="000000"/>
          <w:spacing w:val="-1"/>
          <w:sz w:val="12"/>
          <w:szCs w:val="12"/>
        </w:rPr>
        <w:tab/>
      </w:r>
      <w:r w:rsidRPr="00A35D34">
        <w:rPr>
          <w:rFonts w:ascii="Arial MT Std" w:hAnsi="Arial MT Std" w:cs="Arial MT Std"/>
          <w:color w:val="000000"/>
          <w:spacing w:val="-1"/>
          <w:sz w:val="12"/>
          <w:szCs w:val="12"/>
        </w:rPr>
        <w:t xml:space="preserve"> Helena Laboratories, Corp.</w:t>
      </w:r>
    </w:p>
    <w:p w14:paraId="34044A98" w14:textId="0D753F87" w:rsidR="00A35D34" w:rsidRPr="00A35D34" w:rsidRDefault="00A35D34" w:rsidP="00A35D34">
      <w:pPr>
        <w:tabs>
          <w:tab w:val="left" w:pos="680"/>
          <w:tab w:val="left" w:pos="3975"/>
          <w:tab w:val="left" w:pos="7530"/>
        </w:tabs>
        <w:autoSpaceDE w:val="0"/>
        <w:autoSpaceDN w:val="0"/>
        <w:adjustRightInd w:val="0"/>
        <w:spacing w:line="288" w:lineRule="auto"/>
        <w:textAlignment w:val="center"/>
        <w:rPr>
          <w:rFonts w:ascii="Arial MT Std" w:hAnsi="Arial MT Std" w:cs="Arial MT Std"/>
          <w:color w:val="000000"/>
        </w:rPr>
      </w:pPr>
      <w:r w:rsidRPr="00A35D34">
        <w:rPr>
          <w:rFonts w:ascii="Arial MT Std" w:hAnsi="Arial MT Std" w:cs="Arial MT Std"/>
          <w:color w:val="000000"/>
          <w:spacing w:val="-1"/>
          <w:sz w:val="12"/>
          <w:szCs w:val="12"/>
        </w:rPr>
        <w:tab/>
        <w:t>1530 Lindbergh Drive</w:t>
      </w:r>
      <w:r w:rsidRPr="00A35D34">
        <w:rPr>
          <w:rFonts w:ascii="Arial MT Std" w:hAnsi="Arial MT Std" w:cs="Arial MT Std"/>
          <w:color w:val="000000"/>
          <w:spacing w:val="-1"/>
          <w:sz w:val="12"/>
          <w:szCs w:val="12"/>
        </w:rPr>
        <w:br/>
      </w:r>
      <w:r w:rsidRPr="00A35D34">
        <w:rPr>
          <w:rFonts w:ascii="Arial MT Std" w:hAnsi="Arial MT Std" w:cs="Arial MT Std"/>
          <w:color w:val="000000"/>
          <w:spacing w:val="-1"/>
          <w:sz w:val="12"/>
          <w:szCs w:val="12"/>
        </w:rPr>
        <w:tab/>
        <w:t>Beaumont, TX 77707 USA</w:t>
      </w:r>
    </w:p>
    <w:p w14:paraId="23AE707A" w14:textId="7F6BC852" w:rsidR="00A35D34" w:rsidRPr="00A35D34" w:rsidRDefault="00A35D34" w:rsidP="00A35D34">
      <w:pPr>
        <w:autoSpaceDE w:val="0"/>
        <w:autoSpaceDN w:val="0"/>
        <w:adjustRightInd w:val="0"/>
        <w:spacing w:line="288" w:lineRule="auto"/>
        <w:textAlignment w:val="center"/>
        <w:rPr>
          <w:rFonts w:ascii="Arial MT Std" w:hAnsi="Arial MT Std" w:cs="Arial MT Std"/>
          <w:color w:val="000000"/>
          <w:spacing w:val="-1"/>
          <w:sz w:val="12"/>
          <w:szCs w:val="12"/>
        </w:rPr>
      </w:pPr>
      <w:r w:rsidRPr="00A35D34">
        <w:rPr>
          <w:rFonts w:ascii="Arial MT Std" w:hAnsi="Arial MT Std" w:cs="Arial MT Std"/>
          <w:color w:val="000000"/>
          <w:spacing w:val="-1"/>
          <w:sz w:val="12"/>
          <w:szCs w:val="12"/>
        </w:rPr>
        <w:t>Pro 216</w:t>
      </w:r>
    </w:p>
    <w:p w14:paraId="722241F6" w14:textId="5143A90B" w:rsidR="00887ED3" w:rsidRPr="00887ED3" w:rsidRDefault="00A35D34" w:rsidP="00A35D34">
      <w:pPr>
        <w:tabs>
          <w:tab w:val="left" w:pos="200"/>
        </w:tabs>
        <w:suppressAutoHyphens/>
        <w:autoSpaceDE w:val="0"/>
        <w:autoSpaceDN w:val="0"/>
        <w:adjustRightInd w:val="0"/>
        <w:spacing w:line="288" w:lineRule="auto"/>
        <w:textAlignment w:val="center"/>
        <w:rPr>
          <w:rFonts w:ascii="Arial MT Std" w:hAnsi="Arial MT Std" w:cs="Arial MT Std"/>
          <w:color w:val="000000"/>
          <w:spacing w:val="-1"/>
          <w:sz w:val="16"/>
          <w:szCs w:val="16"/>
        </w:rPr>
      </w:pPr>
      <w:r w:rsidRPr="00A35D34">
        <w:rPr>
          <w:rFonts w:ascii="Arial MT Std" w:hAnsi="Arial MT Std" w:cs="Arial MT Std"/>
          <w:color w:val="000000"/>
          <w:spacing w:val="-1"/>
          <w:sz w:val="12"/>
          <w:szCs w:val="12"/>
        </w:rPr>
        <w:t>3/23(7)</w:t>
      </w:r>
    </w:p>
    <w:p w14:paraId="5F005142" w14:textId="7AAD2DC4" w:rsidR="00A35D34" w:rsidRPr="00A35D34" w:rsidRDefault="00A35D34" w:rsidP="00A35D34">
      <w:pPr>
        <w:tabs>
          <w:tab w:val="left" w:pos="720"/>
          <w:tab w:val="left" w:pos="3975"/>
          <w:tab w:val="left" w:pos="7530"/>
        </w:tabs>
        <w:autoSpaceDE w:val="0"/>
        <w:autoSpaceDN w:val="0"/>
        <w:adjustRightInd w:val="0"/>
        <w:spacing w:line="288" w:lineRule="auto"/>
        <w:textAlignment w:val="center"/>
        <w:rPr>
          <w:rFonts w:ascii="Arial MT Std" w:hAnsi="Arial MT Std" w:cs="Arial MT Std"/>
          <w:color w:val="000000"/>
          <w:sz w:val="16"/>
          <w:szCs w:val="16"/>
        </w:rPr>
      </w:pPr>
      <w:r w:rsidRPr="00A35D34">
        <w:rPr>
          <w:rFonts w:ascii="Arial Narrow" w:hAnsi="Arial Narrow" w:cs="Arial Narrow"/>
          <w:noProof/>
          <w:color w:val="000000"/>
          <w:spacing w:val="-1"/>
          <w:sz w:val="16"/>
          <w:szCs w:val="16"/>
        </w:rPr>
        <w:drawing>
          <wp:inline distT="0" distB="0" distL="0" distR="0" wp14:anchorId="7934C036" wp14:editId="77BEBD5E">
            <wp:extent cx="2095500" cy="558800"/>
            <wp:effectExtent l="0" t="0" r="0" b="0"/>
            <wp:docPr id="1862828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28312" name=""/>
                    <pic:cNvPicPr/>
                  </pic:nvPicPr>
                  <pic:blipFill>
                    <a:blip r:embed="rId13"/>
                    <a:stretch>
                      <a:fillRect/>
                    </a:stretch>
                  </pic:blipFill>
                  <pic:spPr>
                    <a:xfrm>
                      <a:off x="0" y="0"/>
                      <a:ext cx="2095500" cy="558800"/>
                    </a:xfrm>
                    <a:prstGeom prst="rect">
                      <a:avLst/>
                    </a:prstGeom>
                  </pic:spPr>
                </pic:pic>
              </a:graphicData>
            </a:graphic>
          </wp:inline>
        </w:drawing>
      </w:r>
    </w:p>
    <w:p w14:paraId="1124680A" w14:textId="1B8BB43B" w:rsidR="006B5367" w:rsidRPr="00887ED3" w:rsidRDefault="006B5367" w:rsidP="00887ED3">
      <w:pPr>
        <w:rPr>
          <w:rFonts w:ascii="Arial" w:hAnsi="Arial" w:cs="Arial"/>
          <w:sz w:val="16"/>
          <w:szCs w:val="16"/>
        </w:rPr>
      </w:pPr>
    </w:p>
    <w:p w14:paraId="4A597547" w14:textId="77777777" w:rsidR="00A35D34" w:rsidRPr="00887ED3" w:rsidRDefault="00A35D34">
      <w:pPr>
        <w:rPr>
          <w:rFonts w:ascii="Arial" w:hAnsi="Arial" w:cs="Arial"/>
          <w:sz w:val="16"/>
          <w:szCs w:val="16"/>
        </w:rPr>
      </w:pPr>
    </w:p>
    <w:sectPr w:rsidR="00A35D34" w:rsidRPr="00887ED3" w:rsidSect="008E4030">
      <w:pgSz w:w="12240" w:h="15840"/>
      <w:pgMar w:top="720" w:right="1080" w:bottom="720" w:left="108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panose1 w:val="020B0604020202020204"/>
    <w:charset w:val="00"/>
    <w:family w:val="auto"/>
    <w:pitch w:val="variable"/>
    <w:sig w:usb0="E0002AFF" w:usb1="C0007843" w:usb2="00000009" w:usb3="00000000" w:csb0="000001FF" w:csb1="00000000"/>
  </w:font>
  <w:font w:name="ArialNarrow-Bold">
    <w:panose1 w:val="020B0706020202030204"/>
    <w:charset w:val="00"/>
    <w:family w:val="swiss"/>
    <w:pitch w:val="variable"/>
    <w:sig w:usb0="00000287" w:usb1="00000800" w:usb2="00000000" w:usb3="00000000" w:csb0="0000009F" w:csb1="00000000"/>
  </w:font>
  <w:font w:name="ArialMT">
    <w:panose1 w:val="020B0604020202020204"/>
    <w:charset w:val="00"/>
    <w:family w:val="auto"/>
    <w:pitch w:val="variable"/>
    <w:sig w:usb0="E0002AFF" w:usb1="C0007843" w:usb2="00000009" w:usb3="00000000" w:csb0="000001FF" w:csb1="00000000"/>
  </w:font>
  <w:font w:name="Times-Roman">
    <w:panose1 w:val="00000500000000020000"/>
    <w:charset w:val="00"/>
    <w:family w:val="auto"/>
    <w:pitch w:val="variable"/>
    <w:sig w:usb0="00000003" w:usb1="00000000" w:usb2="00000000" w:usb3="00000000" w:csb0="00000001" w:csb1="00000000"/>
  </w:font>
  <w:font w:name="Arial MT Std">
    <w:panose1 w:val="020B0402020200020204"/>
    <w:charset w:val="00"/>
    <w:family w:val="swiss"/>
    <w:notTrueType/>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MTStd-Bold">
    <w:altName w:val="Arial"/>
    <w:panose1 w:val="020B0802020202020204"/>
    <w:charset w:val="00"/>
    <w:family w:val="swiss"/>
    <w:notTrueType/>
    <w:pitch w:val="variable"/>
    <w:sig w:usb0="800000AF" w:usb1="4000204A"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8"/>
  <w:proofState w:spelling="clean" w:grammar="clean"/>
  <w:defaultTabStop w:val="720"/>
  <w:drawingGridHorizontalSpacing w:val="120"/>
  <w:drawingGridVerticalSpacing w:val="200"/>
  <w:displayHorizontalDrawingGridEvery w:val="2"/>
  <w:displayVerticalDrawingGridEvery w:val="2"/>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385"/>
    <w:rsid w:val="0000062F"/>
    <w:rsid w:val="000719AD"/>
    <w:rsid w:val="000B1DF8"/>
    <w:rsid w:val="000C382B"/>
    <w:rsid w:val="000F794A"/>
    <w:rsid w:val="00125A09"/>
    <w:rsid w:val="00132E48"/>
    <w:rsid w:val="00157FCA"/>
    <w:rsid w:val="00165942"/>
    <w:rsid w:val="001830DD"/>
    <w:rsid w:val="001B5A39"/>
    <w:rsid w:val="00250232"/>
    <w:rsid w:val="0026667A"/>
    <w:rsid w:val="002B46E3"/>
    <w:rsid w:val="002D0EB2"/>
    <w:rsid w:val="00311A9A"/>
    <w:rsid w:val="00320F14"/>
    <w:rsid w:val="00341F4C"/>
    <w:rsid w:val="003E17BB"/>
    <w:rsid w:val="003F5A2A"/>
    <w:rsid w:val="003F6280"/>
    <w:rsid w:val="0042487C"/>
    <w:rsid w:val="004776CF"/>
    <w:rsid w:val="00486147"/>
    <w:rsid w:val="004A0059"/>
    <w:rsid w:val="004C359C"/>
    <w:rsid w:val="004F6B25"/>
    <w:rsid w:val="00523DA2"/>
    <w:rsid w:val="00587F47"/>
    <w:rsid w:val="005B296B"/>
    <w:rsid w:val="00631151"/>
    <w:rsid w:val="006B5367"/>
    <w:rsid w:val="006B5DDD"/>
    <w:rsid w:val="006B6B61"/>
    <w:rsid w:val="0076780A"/>
    <w:rsid w:val="008130C4"/>
    <w:rsid w:val="00846F97"/>
    <w:rsid w:val="00887ED3"/>
    <w:rsid w:val="008A0B82"/>
    <w:rsid w:val="008E4030"/>
    <w:rsid w:val="00935888"/>
    <w:rsid w:val="0098054A"/>
    <w:rsid w:val="009B17AC"/>
    <w:rsid w:val="009B2CDC"/>
    <w:rsid w:val="009B3A27"/>
    <w:rsid w:val="009F6018"/>
    <w:rsid w:val="00A227CA"/>
    <w:rsid w:val="00A35D34"/>
    <w:rsid w:val="00AA6655"/>
    <w:rsid w:val="00AD425F"/>
    <w:rsid w:val="00B123A9"/>
    <w:rsid w:val="00B30BC4"/>
    <w:rsid w:val="00B555D9"/>
    <w:rsid w:val="00B85B35"/>
    <w:rsid w:val="00BC2062"/>
    <w:rsid w:val="00BF5C92"/>
    <w:rsid w:val="00C16A9D"/>
    <w:rsid w:val="00C623BA"/>
    <w:rsid w:val="00C77FEE"/>
    <w:rsid w:val="00C87BFA"/>
    <w:rsid w:val="00CE2487"/>
    <w:rsid w:val="00D26C01"/>
    <w:rsid w:val="00DB16C6"/>
    <w:rsid w:val="00DC64CD"/>
    <w:rsid w:val="00ED4385"/>
    <w:rsid w:val="00EF2072"/>
    <w:rsid w:val="00FF3FFA"/>
    <w:rsid w:val="00FF69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041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43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1830DD"/>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8E4030"/>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8E4030"/>
    <w:rPr>
      <w:rFonts w:ascii="ArialNarrow-Bold" w:hAnsi="ArialNarrow-Bold" w:cs="ArialNarrow-Bold"/>
      <w:b/>
      <w:bCs/>
      <w:color w:val="000000"/>
      <w:sz w:val="18"/>
      <w:szCs w:val="18"/>
    </w:rPr>
  </w:style>
  <w:style w:type="paragraph" w:customStyle="1" w:styleId="BodyCopy-6pt">
    <w:name w:val="Body Copy - 6 pt"/>
    <w:basedOn w:val="Normal"/>
    <w:uiPriority w:val="99"/>
    <w:rsid w:val="006B5367"/>
    <w:pPr>
      <w:widowControl w:val="0"/>
      <w:tabs>
        <w:tab w:val="left" w:pos="200"/>
      </w:tabs>
      <w:suppressAutoHyphens/>
      <w:autoSpaceDE w:val="0"/>
      <w:autoSpaceDN w:val="0"/>
      <w:adjustRightInd w:val="0"/>
      <w:spacing w:line="288" w:lineRule="auto"/>
      <w:jc w:val="both"/>
      <w:textAlignment w:val="center"/>
    </w:pPr>
    <w:rPr>
      <w:rFonts w:ascii="ArialMT" w:hAnsi="ArialMT" w:cs="ArialMT"/>
      <w:color w:val="000000"/>
      <w:spacing w:val="-1"/>
      <w:sz w:val="12"/>
      <w:szCs w:val="12"/>
    </w:rPr>
  </w:style>
  <w:style w:type="paragraph" w:customStyle="1" w:styleId="NoParagraphStyle">
    <w:name w:val="[No Paragraph Style]"/>
    <w:rsid w:val="006B5367"/>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ContentsHeaderlowercase">
    <w:name w:val="Contents Header lowercase"/>
    <w:basedOn w:val="NoParagraphStyle"/>
    <w:uiPriority w:val="99"/>
    <w:rsid w:val="006B5367"/>
    <w:pPr>
      <w:spacing w:before="20"/>
    </w:pPr>
    <w:rPr>
      <w:rFonts w:ascii="Arial-BoldMT" w:hAnsi="Arial-BoldMT" w:cs="Arial-BoldMT"/>
      <w:b/>
      <w:bCs/>
      <w:sz w:val="14"/>
      <w:szCs w:val="14"/>
    </w:rPr>
  </w:style>
  <w:style w:type="paragraph" w:customStyle="1" w:styleId="HeaderCAPS-7pt">
    <w:name w:val="Header CAPS - 7pt"/>
    <w:basedOn w:val="NoParagraphStyle"/>
    <w:uiPriority w:val="99"/>
    <w:rsid w:val="006B5367"/>
    <w:pPr>
      <w:spacing w:before="20"/>
    </w:pPr>
    <w:rPr>
      <w:rFonts w:ascii="Arial-BoldMT" w:hAnsi="Arial-BoldMT" w:cs="Arial-BoldMT"/>
      <w:b/>
      <w:bCs/>
      <w:caps/>
      <w:sz w:val="14"/>
      <w:szCs w:val="14"/>
    </w:rPr>
  </w:style>
  <w:style w:type="paragraph" w:customStyle="1" w:styleId="Text">
    <w:name w:val="Text"/>
    <w:basedOn w:val="Normal"/>
    <w:uiPriority w:val="99"/>
    <w:rsid w:val="00EF2072"/>
    <w:pPr>
      <w:autoSpaceDE w:val="0"/>
      <w:autoSpaceDN w:val="0"/>
      <w:adjustRightInd w:val="0"/>
      <w:spacing w:line="288" w:lineRule="auto"/>
      <w:jc w:val="both"/>
      <w:textAlignment w:val="center"/>
    </w:pPr>
    <w:rPr>
      <w:rFonts w:ascii="Arial" w:hAnsi="Arial" w:cs="Arial"/>
      <w:color w:val="000000"/>
      <w:spacing w:val="-1"/>
      <w:sz w:val="12"/>
      <w:szCs w:val="12"/>
    </w:rPr>
  </w:style>
  <w:style w:type="character" w:customStyle="1" w:styleId="Highlight">
    <w:name w:val="Highlight"/>
    <w:uiPriority w:val="99"/>
    <w:rsid w:val="00EF2072"/>
    <w:rPr>
      <w:rFonts w:ascii="Arial MT Std" w:hAnsi="Arial MT Std" w:cs="Arial MT Std"/>
      <w:u w:val="thick" w:color="000000"/>
    </w:rPr>
  </w:style>
  <w:style w:type="character" w:customStyle="1" w:styleId="Text1">
    <w:name w:val="Text1"/>
    <w:uiPriority w:val="99"/>
    <w:rsid w:val="00EF2072"/>
    <w:rPr>
      <w:rFonts w:ascii="Helvetica" w:hAnsi="Helvetica" w:cs="Helvetica"/>
      <w:color w:val="000000"/>
      <w:spacing w:val="0"/>
      <w:w w:val="100"/>
      <w:position w:val="0"/>
      <w:sz w:val="16"/>
      <w:szCs w:val="16"/>
      <w:u w:val="none"/>
      <w:vertAlign w:val="baseline"/>
    </w:rPr>
  </w:style>
  <w:style w:type="paragraph" w:customStyle="1" w:styleId="BodyCopy">
    <w:name w:val="Body Copy"/>
    <w:basedOn w:val="NoParagraphStyle"/>
    <w:uiPriority w:val="99"/>
    <w:rsid w:val="00887ED3"/>
    <w:pPr>
      <w:widowControl/>
      <w:tabs>
        <w:tab w:val="left" w:pos="160"/>
        <w:tab w:val="left" w:pos="320"/>
      </w:tabs>
      <w:jc w:val="both"/>
    </w:pPr>
    <w:rPr>
      <w:rFonts w:ascii="Arial Narrow" w:hAnsi="Arial Narrow" w:cs="Arial Narrow"/>
      <w:spacing w:val="-1"/>
      <w:sz w:val="12"/>
      <w:szCs w:val="12"/>
    </w:rPr>
  </w:style>
  <w:style w:type="character" w:customStyle="1" w:styleId="Shading">
    <w:name w:val="Shading"/>
    <w:uiPriority w:val="99"/>
    <w:rsid w:val="00887ED3"/>
    <w:rPr>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TotalTime>
  <Pages>6</Pages>
  <Words>3225</Words>
  <Characters>18389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Juliana Spencer</cp:lastModifiedBy>
  <cp:revision>42</cp:revision>
  <cp:lastPrinted>2017-02-28T20:47:00Z</cp:lastPrinted>
  <dcterms:created xsi:type="dcterms:W3CDTF">2017-02-28T16:48:00Z</dcterms:created>
  <dcterms:modified xsi:type="dcterms:W3CDTF">2023-05-26T19:34:00Z</dcterms:modified>
</cp:coreProperties>
</file>