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DA277" w14:textId="77777777" w:rsidR="00881FDC" w:rsidRDefault="00881FDC" w:rsidP="00881FDC">
      <w:pPr>
        <w:pStyle w:val="DefaultText"/>
        <w:rPr>
          <w:rFonts w:ascii="Arial" w:hAnsi="Arial" w:cs="Arial"/>
          <w:i/>
          <w:sz w:val="22"/>
        </w:rPr>
      </w:pPr>
      <w:r>
        <w:rPr>
          <w:rFonts w:ascii="Arial" w:hAnsi="Arial" w:cs="Arial"/>
          <w:i/>
          <w:sz w:val="22"/>
        </w:rPr>
        <w:t>PLEASE READ!!</w:t>
      </w:r>
    </w:p>
    <w:p w14:paraId="57FE77C3" w14:textId="77777777" w:rsidR="00881FDC" w:rsidRDefault="00881FDC" w:rsidP="00881FDC">
      <w:pPr>
        <w:pStyle w:val="DefaultText"/>
        <w:rPr>
          <w:rFonts w:ascii="Arial" w:hAnsi="Arial" w:cs="Arial"/>
          <w:sz w:val="22"/>
        </w:rPr>
      </w:pPr>
    </w:p>
    <w:p w14:paraId="58454716" w14:textId="77777777" w:rsidR="00881FDC" w:rsidRDefault="00881FDC" w:rsidP="00881FDC">
      <w:pPr>
        <w:pStyle w:val="DefaultText"/>
        <w:rPr>
          <w:rFonts w:ascii="Arial" w:hAnsi="Arial" w:cs="Arial"/>
          <w:sz w:val="22"/>
        </w:rPr>
      </w:pPr>
    </w:p>
    <w:p w14:paraId="74C4E943" w14:textId="77777777" w:rsidR="00881FDC" w:rsidRDefault="00881FDC" w:rsidP="00881FDC">
      <w:pPr>
        <w:pStyle w:val="DefaultText"/>
        <w:rPr>
          <w:rFonts w:ascii="Arial" w:hAnsi="Arial" w:cs="Arial"/>
          <w:sz w:val="22"/>
        </w:rPr>
      </w:pPr>
    </w:p>
    <w:p w14:paraId="41359A1D" w14:textId="77777777" w:rsidR="00881FDC" w:rsidRDefault="00881FDC" w:rsidP="00881FDC">
      <w:pPr>
        <w:pStyle w:val="DefaultText"/>
        <w:rPr>
          <w:rFonts w:ascii="Arial" w:hAnsi="Arial" w:cs="Arial"/>
          <w:b/>
          <w:sz w:val="22"/>
        </w:rPr>
      </w:pPr>
      <w:r>
        <w:rPr>
          <w:rFonts w:ascii="Arial" w:hAnsi="Arial" w:cs="Arial"/>
          <w:b/>
          <w:sz w:val="22"/>
        </w:rPr>
        <w:t>HELENA LABORATORIES</w:t>
      </w:r>
    </w:p>
    <w:p w14:paraId="40661E3B" w14:textId="77777777" w:rsidR="00881FDC" w:rsidRDefault="00881FDC" w:rsidP="00881FDC">
      <w:pPr>
        <w:pStyle w:val="DefaultText"/>
        <w:rPr>
          <w:rFonts w:ascii="Arial" w:hAnsi="Arial" w:cs="Arial"/>
          <w:b/>
          <w:sz w:val="22"/>
        </w:rPr>
      </w:pPr>
      <w:r>
        <w:rPr>
          <w:rFonts w:ascii="Arial" w:hAnsi="Arial" w:cs="Arial"/>
          <w:b/>
          <w:sz w:val="22"/>
        </w:rPr>
        <w:t>PROCEDURE DOWNLOAD END USER AGREEMENT</w:t>
      </w:r>
    </w:p>
    <w:p w14:paraId="28A29327" w14:textId="77777777" w:rsidR="00881FDC" w:rsidRDefault="00881FDC" w:rsidP="00881FDC">
      <w:pPr>
        <w:pStyle w:val="DefaultText"/>
        <w:rPr>
          <w:rFonts w:ascii="Arial" w:hAnsi="Arial" w:cs="Arial"/>
          <w:sz w:val="22"/>
        </w:rPr>
      </w:pPr>
    </w:p>
    <w:p w14:paraId="7FF41136" w14:textId="77777777" w:rsidR="00881FDC" w:rsidRDefault="00881FDC" w:rsidP="00881FDC">
      <w:pPr>
        <w:pStyle w:val="DefaultText"/>
        <w:rPr>
          <w:rFonts w:ascii="Arial" w:hAnsi="Arial" w:cs="Arial"/>
        </w:rPr>
      </w:pPr>
    </w:p>
    <w:p w14:paraId="514540D9" w14:textId="77777777" w:rsidR="00881FDC" w:rsidRDefault="00881FDC" w:rsidP="00881FDC">
      <w:pPr>
        <w:pStyle w:val="DefaultText"/>
        <w:rPr>
          <w:rFonts w:ascii="Arial" w:hAnsi="Arial" w:cs="Arial"/>
        </w:rPr>
      </w:pPr>
    </w:p>
    <w:p w14:paraId="68D5A4F6" w14:textId="77777777" w:rsidR="00881FDC" w:rsidRDefault="00881FDC" w:rsidP="00881FDC">
      <w:pPr>
        <w:pStyle w:val="DefaultText"/>
        <w:rPr>
          <w:rFonts w:ascii="Arial" w:hAnsi="Arial" w:cs="Arial"/>
        </w:rPr>
      </w:pPr>
      <w:r>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6726734A" w14:textId="77777777" w:rsidR="00881FDC" w:rsidRDefault="00881FDC" w:rsidP="00881FDC">
      <w:pPr>
        <w:pStyle w:val="DefaultText"/>
        <w:rPr>
          <w:rFonts w:ascii="Arial" w:hAnsi="Arial" w:cs="Arial"/>
        </w:rPr>
      </w:pPr>
    </w:p>
    <w:p w14:paraId="4921DCBC" w14:textId="77777777" w:rsidR="00881FDC" w:rsidRDefault="00881FDC" w:rsidP="00881FDC">
      <w:pPr>
        <w:pStyle w:val="DefaultText"/>
        <w:rPr>
          <w:rFonts w:ascii="Arial" w:hAnsi="Arial" w:cs="Arial"/>
        </w:rPr>
      </w:pPr>
      <w:r>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Pr>
          <w:rFonts w:ascii="Arial" w:hAnsi="Arial" w:cs="Arial"/>
        </w:rPr>
        <w:t>{ }</w:t>
      </w:r>
      <w:proofErr w:type="gramEnd"/>
      <w:r>
        <w:rPr>
          <w:rFonts w:ascii="Arial" w:hAnsi="Arial" w:cs="Arial"/>
        </w:rPr>
        <w:t>.</w:t>
      </w:r>
    </w:p>
    <w:p w14:paraId="331E05FE" w14:textId="77777777" w:rsidR="00881FDC" w:rsidRDefault="00881FDC" w:rsidP="00881FDC">
      <w:pPr>
        <w:pStyle w:val="DefaultText"/>
        <w:rPr>
          <w:rFonts w:ascii="Arial" w:hAnsi="Arial" w:cs="Arial"/>
        </w:rPr>
      </w:pPr>
    </w:p>
    <w:p w14:paraId="21D8B81E" w14:textId="77777777" w:rsidR="00881FDC" w:rsidRDefault="00881FDC" w:rsidP="00881FDC">
      <w:pPr>
        <w:pStyle w:val="DefaultText"/>
        <w:rPr>
          <w:rFonts w:ascii="Arial" w:hAnsi="Arial" w:cs="Arial"/>
        </w:rPr>
      </w:pPr>
    </w:p>
    <w:p w14:paraId="121C1E62" w14:textId="77777777" w:rsidR="00881FDC" w:rsidRDefault="00881FDC" w:rsidP="00881FDC">
      <w:pPr>
        <w:pStyle w:val="DefaultText"/>
        <w:rPr>
          <w:rFonts w:ascii="Arial" w:hAnsi="Arial" w:cs="Arial"/>
          <w:sz w:val="22"/>
        </w:rPr>
      </w:pPr>
      <w:r>
        <w:rPr>
          <w:rFonts w:ascii="Arial" w:hAnsi="Arial" w:cs="Arial"/>
          <w:sz w:val="22"/>
        </w:rPr>
        <w:t>WHAT YOU NEED TO KNOW:</w:t>
      </w:r>
    </w:p>
    <w:p w14:paraId="5BC65404" w14:textId="77777777" w:rsidR="00881FDC" w:rsidRDefault="00881FDC" w:rsidP="00881FDC">
      <w:pPr>
        <w:pStyle w:val="DefaultText"/>
        <w:tabs>
          <w:tab w:val="left" w:pos="540"/>
        </w:tabs>
        <w:rPr>
          <w:rFonts w:ascii="Arial" w:hAnsi="Arial" w:cs="Arial"/>
        </w:rPr>
      </w:pPr>
    </w:p>
    <w:p w14:paraId="6292030E" w14:textId="77777777" w:rsidR="00881FDC" w:rsidRDefault="00881FDC" w:rsidP="00881FDC">
      <w:pPr>
        <w:pStyle w:val="DefaultText"/>
        <w:tabs>
          <w:tab w:val="left" w:pos="540"/>
        </w:tabs>
        <w:ind w:left="540" w:hanging="540"/>
        <w:rPr>
          <w:rFonts w:ascii="Arial" w:hAnsi="Arial" w:cs="Arial"/>
        </w:rPr>
      </w:pPr>
      <w:r>
        <w:rPr>
          <w:rFonts w:ascii="Arial" w:hAnsi="Arial" w:cs="Arial"/>
        </w:rPr>
        <w:t>1)</w:t>
      </w:r>
      <w:r>
        <w:rPr>
          <w:rFonts w:ascii="Arial" w:hAnsi="Arial" w:cs="Arial"/>
        </w:rPr>
        <w:tab/>
        <w:t>These files represent the most current revision level to date.  Your current</w:t>
      </w:r>
      <w:r>
        <w:rPr>
          <w:rFonts w:ascii="Arial" w:hAnsi="Arial" w:cs="Arial"/>
        </w:rPr>
        <w:tab/>
        <w:t>product inventory could contain a previous revision level of this procedure.</w:t>
      </w:r>
    </w:p>
    <w:p w14:paraId="168C159E" w14:textId="77777777" w:rsidR="00881FDC" w:rsidRDefault="00881FDC" w:rsidP="00881FDC">
      <w:pPr>
        <w:pStyle w:val="DefaultText"/>
        <w:tabs>
          <w:tab w:val="left" w:pos="540"/>
          <w:tab w:val="left" w:pos="630"/>
        </w:tabs>
        <w:rPr>
          <w:rFonts w:ascii="Arial" w:hAnsi="Arial" w:cs="Arial"/>
        </w:rPr>
      </w:pPr>
    </w:p>
    <w:p w14:paraId="17260699" w14:textId="77777777" w:rsidR="00881FDC" w:rsidRDefault="00881FDC" w:rsidP="00881FDC">
      <w:pPr>
        <w:pStyle w:val="DefaultText"/>
        <w:tabs>
          <w:tab w:val="left" w:pos="540"/>
        </w:tabs>
        <w:ind w:left="540" w:hanging="540"/>
        <w:rPr>
          <w:rFonts w:ascii="Arial" w:hAnsi="Arial" w:cs="Arial"/>
        </w:rPr>
      </w:pPr>
      <w:r>
        <w:rPr>
          <w:rFonts w:ascii="Arial" w:hAnsi="Arial" w:cs="Arial"/>
        </w:rPr>
        <w:t>2)</w:t>
      </w:r>
      <w:r>
        <w:rPr>
          <w:rFonts w:ascii="Arial" w:hAnsi="Arial" w:cs="Arial"/>
        </w:rPr>
        <w:tab/>
        <w:t>The Microsoft Word document provides the text only from the master procedure, in a single-column format.</w:t>
      </w:r>
    </w:p>
    <w:p w14:paraId="28D7D7E7" w14:textId="77777777" w:rsidR="00881FDC" w:rsidRDefault="00881FDC" w:rsidP="00881FDC">
      <w:pPr>
        <w:pStyle w:val="DefaultText"/>
        <w:tabs>
          <w:tab w:val="left" w:pos="540"/>
          <w:tab w:val="left" w:pos="630"/>
        </w:tabs>
        <w:rPr>
          <w:rFonts w:ascii="Arial" w:hAnsi="Arial" w:cs="Arial"/>
        </w:rPr>
      </w:pPr>
    </w:p>
    <w:p w14:paraId="7B8274DB" w14:textId="77777777" w:rsidR="00881FDC" w:rsidRDefault="00881FDC" w:rsidP="00881FDC">
      <w:pPr>
        <w:pStyle w:val="DefaultText"/>
        <w:numPr>
          <w:ilvl w:val="0"/>
          <w:numId w:val="5"/>
        </w:numPr>
        <w:tabs>
          <w:tab w:val="left" w:pos="540"/>
          <w:tab w:val="left" w:pos="630"/>
        </w:tabs>
        <w:rPr>
          <w:rFonts w:ascii="Arial" w:hAnsi="Arial" w:cs="Arial"/>
        </w:rPr>
      </w:pPr>
      <w:r>
        <w:rPr>
          <w:rFonts w:ascii="Arial" w:hAnsi="Arial" w:cs="Arial"/>
        </w:rPr>
        <w:t>It may not contain any illustrations, graphics or captions that may be part of the master procedure included in the kit.</w:t>
      </w:r>
    </w:p>
    <w:p w14:paraId="56CA01C0" w14:textId="77777777" w:rsidR="00881FDC" w:rsidRDefault="00881FDC" w:rsidP="00881FDC">
      <w:pPr>
        <w:pStyle w:val="DefaultText"/>
        <w:tabs>
          <w:tab w:val="left" w:pos="540"/>
          <w:tab w:val="left" w:pos="630"/>
          <w:tab w:val="left" w:pos="1080"/>
        </w:tabs>
        <w:rPr>
          <w:rFonts w:ascii="Arial" w:hAnsi="Arial" w:cs="Arial"/>
        </w:rPr>
      </w:pPr>
    </w:p>
    <w:p w14:paraId="1EB1F6E6" w14:textId="77777777" w:rsidR="00881FDC" w:rsidRDefault="00881FDC" w:rsidP="00881FDC">
      <w:pPr>
        <w:pStyle w:val="DefaultText"/>
        <w:numPr>
          <w:ilvl w:val="0"/>
          <w:numId w:val="5"/>
        </w:numPr>
        <w:tabs>
          <w:tab w:val="left" w:pos="540"/>
          <w:tab w:val="left" w:pos="630"/>
        </w:tabs>
        <w:rPr>
          <w:rFonts w:ascii="Arial" w:hAnsi="Arial" w:cs="Arial"/>
        </w:rPr>
      </w:pPr>
      <w:r>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2C59885C" w14:textId="77777777" w:rsidR="00881FDC" w:rsidRDefault="00881FDC" w:rsidP="00881FDC">
      <w:pPr>
        <w:pStyle w:val="DefaultText"/>
        <w:tabs>
          <w:tab w:val="left" w:pos="540"/>
          <w:tab w:val="left" w:pos="630"/>
        </w:tabs>
        <w:rPr>
          <w:rFonts w:ascii="Arial" w:hAnsi="Arial" w:cs="Arial"/>
        </w:rPr>
      </w:pPr>
    </w:p>
    <w:p w14:paraId="01D0EABF" w14:textId="77777777" w:rsidR="00881FDC" w:rsidRDefault="00881FDC" w:rsidP="00881FDC">
      <w:pPr>
        <w:pStyle w:val="DefaultText"/>
        <w:numPr>
          <w:ilvl w:val="0"/>
          <w:numId w:val="5"/>
        </w:numPr>
        <w:tabs>
          <w:tab w:val="left" w:pos="540"/>
          <w:tab w:val="left" w:pos="630"/>
        </w:tabs>
        <w:rPr>
          <w:rFonts w:ascii="Arial" w:hAnsi="Arial" w:cs="Arial"/>
        </w:rPr>
      </w:pPr>
      <w:r>
        <w:rPr>
          <w:rFonts w:ascii="Arial" w:hAnsi="Arial" w:cs="Arial"/>
        </w:rPr>
        <w:t>The master procedures may also contain columns of tabbed data.  Tab settings may or may not be displayed properly on your desktop.</w:t>
      </w:r>
    </w:p>
    <w:p w14:paraId="46CA5324" w14:textId="77777777" w:rsidR="00881FDC" w:rsidRDefault="00881FDC" w:rsidP="00881FDC">
      <w:pPr>
        <w:pStyle w:val="DefaultText"/>
        <w:tabs>
          <w:tab w:val="left" w:pos="540"/>
          <w:tab w:val="left" w:pos="630"/>
          <w:tab w:val="left" w:pos="1080"/>
        </w:tabs>
        <w:ind w:left="630"/>
        <w:rPr>
          <w:rFonts w:ascii="Arial" w:hAnsi="Arial" w:cs="Arial"/>
        </w:rPr>
      </w:pPr>
    </w:p>
    <w:p w14:paraId="5AE456EF" w14:textId="77777777" w:rsidR="00881FDC" w:rsidRDefault="00881FDC" w:rsidP="00881FDC">
      <w:pPr>
        <w:pStyle w:val="DefaultText"/>
        <w:tabs>
          <w:tab w:val="left" w:pos="540"/>
        </w:tabs>
        <w:ind w:left="540" w:hanging="540"/>
        <w:rPr>
          <w:rFonts w:ascii="Arial" w:hAnsi="Arial" w:cs="Arial"/>
        </w:rPr>
      </w:pPr>
      <w:r>
        <w:rPr>
          <w:rFonts w:ascii="Arial" w:hAnsi="Arial" w:cs="Arial"/>
        </w:rPr>
        <w:t>3)</w:t>
      </w:r>
      <w:r>
        <w:rPr>
          <w:rFonts w:ascii="Arial" w:hAnsi="Arial" w:cs="Arial"/>
        </w:rPr>
        <w:tab/>
        <w:t>The Adobe Acrobat PDF file provides a snapshot of the master procedure in a printable 8.5 x 11” format.  It is provided to serve as a reference for accuracy.</w:t>
      </w:r>
    </w:p>
    <w:p w14:paraId="04E7EAEA" w14:textId="77777777" w:rsidR="00881FDC" w:rsidRDefault="00881FDC" w:rsidP="00881FDC">
      <w:pPr>
        <w:pStyle w:val="DefaultText"/>
        <w:tabs>
          <w:tab w:val="left" w:pos="540"/>
        </w:tabs>
        <w:rPr>
          <w:rFonts w:ascii="Arial" w:hAnsi="Arial" w:cs="Arial"/>
        </w:rPr>
      </w:pPr>
    </w:p>
    <w:p w14:paraId="502BCF8D" w14:textId="77777777" w:rsidR="00881FDC" w:rsidRDefault="00881FDC" w:rsidP="00881FDC">
      <w:pPr>
        <w:pStyle w:val="DefaultText"/>
        <w:tabs>
          <w:tab w:val="left" w:pos="540"/>
          <w:tab w:val="left" w:pos="1080"/>
        </w:tabs>
        <w:ind w:left="540" w:hanging="540"/>
        <w:rPr>
          <w:rFonts w:ascii="Arial" w:hAnsi="Arial" w:cs="Arial"/>
        </w:rPr>
      </w:pPr>
      <w:r>
        <w:rPr>
          <w:rFonts w:ascii="Arial" w:hAnsi="Arial" w:cs="Arial"/>
        </w:rPr>
        <w:t>4)</w:t>
      </w:r>
      <w:r>
        <w:rPr>
          <w:rFonts w:ascii="Arial" w:hAnsi="Arial" w:cs="Arial"/>
        </w:rPr>
        <w:tab/>
        <w:t>By downloading this procedure, your institution is assuming responsibility for modification and usage.</w:t>
      </w:r>
    </w:p>
    <w:p w14:paraId="3BC62512" w14:textId="77777777" w:rsidR="00881FDC" w:rsidRDefault="00881FDC" w:rsidP="00881FDC">
      <w:pPr>
        <w:pStyle w:val="DefaultText"/>
        <w:tabs>
          <w:tab w:val="left" w:pos="630"/>
          <w:tab w:val="left" w:pos="1080"/>
        </w:tabs>
        <w:rPr>
          <w:rFonts w:ascii="Arial" w:hAnsi="Arial" w:cs="Arial"/>
          <w:b/>
        </w:rPr>
      </w:pPr>
      <w:r>
        <w:br w:type="page"/>
      </w:r>
      <w:r>
        <w:rPr>
          <w:rFonts w:ascii="Arial" w:hAnsi="Arial" w:cs="Arial"/>
          <w:b/>
          <w:sz w:val="22"/>
        </w:rPr>
        <w:lastRenderedPageBreak/>
        <w:t>HELENA LABORATORIES</w:t>
      </w:r>
    </w:p>
    <w:p w14:paraId="3B88FD01" w14:textId="77777777" w:rsidR="00881FDC" w:rsidRDefault="00881FDC" w:rsidP="00881FDC">
      <w:pPr>
        <w:pStyle w:val="DefaultText"/>
        <w:rPr>
          <w:rFonts w:ascii="Arial" w:hAnsi="Arial" w:cs="Arial"/>
          <w:b/>
          <w:sz w:val="22"/>
        </w:rPr>
      </w:pPr>
      <w:r>
        <w:rPr>
          <w:rFonts w:ascii="Arial" w:hAnsi="Arial" w:cs="Arial"/>
          <w:b/>
          <w:sz w:val="22"/>
        </w:rPr>
        <w:t>PROCEDURE DOWNLOAD END USER AGREEMENT</w:t>
      </w:r>
    </w:p>
    <w:p w14:paraId="115EE48F" w14:textId="77777777" w:rsidR="00881FDC" w:rsidRDefault="00881FDC" w:rsidP="00881FDC">
      <w:pPr>
        <w:pStyle w:val="DefaultText"/>
        <w:rPr>
          <w:rFonts w:ascii="Arial" w:hAnsi="Arial" w:cs="Arial"/>
          <w:sz w:val="22"/>
        </w:rPr>
      </w:pPr>
    </w:p>
    <w:p w14:paraId="00730996" w14:textId="77777777" w:rsidR="00881FDC" w:rsidRDefault="00881FDC" w:rsidP="00881FDC">
      <w:pPr>
        <w:pStyle w:val="DefaultText"/>
        <w:tabs>
          <w:tab w:val="left" w:pos="630"/>
          <w:tab w:val="left" w:pos="1080"/>
        </w:tabs>
        <w:rPr>
          <w:rFonts w:ascii="Arial" w:hAnsi="Arial" w:cs="Arial"/>
          <w:sz w:val="22"/>
        </w:rPr>
      </w:pPr>
    </w:p>
    <w:p w14:paraId="5843657B" w14:textId="77777777" w:rsidR="00881FDC" w:rsidRDefault="00881FDC" w:rsidP="00881FDC">
      <w:pPr>
        <w:pStyle w:val="DefaultText"/>
        <w:tabs>
          <w:tab w:val="left" w:pos="630"/>
          <w:tab w:val="left" w:pos="1080"/>
        </w:tabs>
        <w:rPr>
          <w:rFonts w:ascii="Arial" w:hAnsi="Arial" w:cs="Arial"/>
          <w:sz w:val="22"/>
        </w:rPr>
      </w:pPr>
    </w:p>
    <w:p w14:paraId="2C98FD0C" w14:textId="77777777" w:rsidR="00881FDC" w:rsidRDefault="00881FDC" w:rsidP="00881FDC">
      <w:pPr>
        <w:pStyle w:val="DefaultText"/>
        <w:tabs>
          <w:tab w:val="left" w:pos="630"/>
          <w:tab w:val="left" w:pos="1080"/>
        </w:tabs>
        <w:jc w:val="center"/>
        <w:rPr>
          <w:rFonts w:ascii="Arial" w:hAnsi="Arial" w:cs="Arial"/>
          <w:sz w:val="22"/>
        </w:rPr>
      </w:pPr>
      <w:r>
        <w:rPr>
          <w:rFonts w:ascii="Arial" w:hAnsi="Arial" w:cs="Arial"/>
          <w:sz w:val="22"/>
        </w:rPr>
        <w:t>HELENA LABORATORIES LABELING – Style/Format Outline</w:t>
      </w:r>
    </w:p>
    <w:p w14:paraId="043080BE" w14:textId="77777777" w:rsidR="00881FDC" w:rsidRDefault="00881FDC" w:rsidP="00881FDC">
      <w:pPr>
        <w:pStyle w:val="DefaultText"/>
        <w:tabs>
          <w:tab w:val="left" w:pos="630"/>
          <w:tab w:val="left" w:pos="1080"/>
        </w:tabs>
        <w:rPr>
          <w:rFonts w:ascii="Arial" w:hAnsi="Arial" w:cs="Arial"/>
          <w:sz w:val="22"/>
        </w:rPr>
      </w:pPr>
    </w:p>
    <w:p w14:paraId="53C7A228" w14:textId="77777777" w:rsidR="00881FDC" w:rsidRDefault="00881FDC" w:rsidP="00881FDC">
      <w:pPr>
        <w:pStyle w:val="DefaultText"/>
        <w:tabs>
          <w:tab w:val="left" w:pos="630"/>
          <w:tab w:val="left" w:pos="1080"/>
        </w:tabs>
        <w:rPr>
          <w:rFonts w:ascii="Arial" w:hAnsi="Arial" w:cs="Arial"/>
          <w:sz w:val="22"/>
        </w:rPr>
      </w:pPr>
    </w:p>
    <w:p w14:paraId="2CA4CE05" w14:textId="77777777" w:rsidR="00881FDC" w:rsidRDefault="00881FDC" w:rsidP="00881FDC">
      <w:pPr>
        <w:pStyle w:val="DefaultText"/>
        <w:tabs>
          <w:tab w:val="left" w:pos="630"/>
          <w:tab w:val="left" w:pos="1080"/>
        </w:tabs>
        <w:rPr>
          <w:rFonts w:ascii="Arial" w:hAnsi="Arial" w:cs="Arial"/>
        </w:rPr>
      </w:pPr>
    </w:p>
    <w:p w14:paraId="49806876"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PRODUCT {Test} NAME</w:t>
      </w:r>
    </w:p>
    <w:p w14:paraId="5E345E1E"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INTENDED USE and TEST TYPE (qualitative or qualitative)</w:t>
      </w:r>
    </w:p>
    <w:p w14:paraId="1A0B8A47"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SUMMARY AND EXPLANATION</w:t>
      </w:r>
    </w:p>
    <w:p w14:paraId="47C4966A"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PRINCIPLES OF THE PROCEDURE</w:t>
      </w:r>
    </w:p>
    <w:p w14:paraId="5BCB4B6E" w14:textId="77777777" w:rsidR="00881FDC" w:rsidRDefault="00881FDC" w:rsidP="00881FDC">
      <w:pPr>
        <w:pStyle w:val="DefaultText"/>
        <w:tabs>
          <w:tab w:val="left" w:pos="630"/>
          <w:tab w:val="left" w:pos="1080"/>
        </w:tabs>
        <w:rPr>
          <w:rFonts w:ascii="Arial" w:hAnsi="Arial" w:cs="Arial"/>
          <w:i/>
          <w:iCs/>
        </w:rPr>
      </w:pPr>
      <w:r>
        <w:rPr>
          <w:rFonts w:ascii="Arial" w:hAnsi="Arial" w:cs="Arial"/>
        </w:rPr>
        <w:tab/>
        <w:t xml:space="preserve">  {</w:t>
      </w:r>
      <w:r>
        <w:rPr>
          <w:rFonts w:ascii="Arial" w:hAnsi="Arial" w:cs="Arial"/>
          <w:i/>
          <w:iCs/>
        </w:rPr>
        <w:t>NCCLS lists SAMPLE COLLECTION/HANDLING next}</w:t>
      </w:r>
    </w:p>
    <w:p w14:paraId="21199C85"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REAGENTS (name/concentration; warnings/precautions; preparation; storage; environment; Purification/treatment; indications of instability)</w:t>
      </w:r>
    </w:p>
    <w:p w14:paraId="6E9660D2"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1A0D5592"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SAMPLE COLLECTION/HANDLING</w:t>
      </w:r>
    </w:p>
    <w:p w14:paraId="0C98907E" w14:textId="77777777" w:rsidR="00881FDC" w:rsidRDefault="00881FDC" w:rsidP="00881FDC">
      <w:pPr>
        <w:pStyle w:val="DefaultText"/>
        <w:numPr>
          <w:ilvl w:val="0"/>
          <w:numId w:val="6"/>
        </w:numPr>
        <w:tabs>
          <w:tab w:val="left" w:pos="1080"/>
        </w:tabs>
        <w:rPr>
          <w:rFonts w:ascii="Arial" w:hAnsi="Arial" w:cs="Arial"/>
        </w:rPr>
      </w:pPr>
      <w:r>
        <w:rPr>
          <w:rFonts w:ascii="Arial" w:hAnsi="Arial" w:cs="Arial"/>
        </w:rPr>
        <w:t>PROCEDURE</w:t>
      </w:r>
    </w:p>
    <w:p w14:paraId="53EBEC11" w14:textId="77777777" w:rsidR="00881FDC" w:rsidRDefault="00881FDC" w:rsidP="00881FDC">
      <w:pPr>
        <w:pStyle w:val="DefaultText"/>
        <w:tabs>
          <w:tab w:val="left" w:pos="630"/>
          <w:tab w:val="left" w:pos="1080"/>
        </w:tabs>
        <w:rPr>
          <w:rFonts w:ascii="Arial" w:hAnsi="Arial" w:cs="Arial"/>
        </w:rPr>
      </w:pPr>
      <w:r>
        <w:rPr>
          <w:rFonts w:ascii="Arial" w:hAnsi="Arial" w:cs="Arial"/>
        </w:rPr>
        <w:tab/>
        <w:t xml:space="preserve">  {</w:t>
      </w:r>
      <w:r>
        <w:rPr>
          <w:rFonts w:ascii="Arial" w:hAnsi="Arial" w:cs="Arial"/>
          <w:i/>
          <w:iCs/>
        </w:rPr>
        <w:t>NCCLS lists QUALITY CONTROL (QC) next}</w:t>
      </w:r>
    </w:p>
    <w:p w14:paraId="1CCC2E28" w14:textId="77777777" w:rsidR="00881FDC" w:rsidRDefault="00881FDC" w:rsidP="00881FDC">
      <w:pPr>
        <w:pStyle w:val="DefaultText"/>
        <w:tabs>
          <w:tab w:val="left" w:pos="630"/>
          <w:tab w:val="left" w:pos="1080"/>
        </w:tabs>
        <w:rPr>
          <w:rFonts w:ascii="Arial" w:hAnsi="Arial" w:cs="Arial"/>
        </w:rPr>
      </w:pPr>
      <w:r>
        <w:rPr>
          <w:rFonts w:ascii="Arial" w:hAnsi="Arial" w:cs="Arial"/>
        </w:rPr>
        <w:t xml:space="preserve"> 9)  RESULTS (calculations, as applicable; etc.)</w:t>
      </w:r>
    </w:p>
    <w:p w14:paraId="6013702C" w14:textId="77777777" w:rsidR="00881FDC" w:rsidRDefault="00881FDC" w:rsidP="00881FDC">
      <w:pPr>
        <w:pStyle w:val="DefaultText"/>
        <w:tabs>
          <w:tab w:val="left" w:pos="630"/>
          <w:tab w:val="left" w:pos="1080"/>
        </w:tabs>
        <w:rPr>
          <w:rFonts w:ascii="Arial" w:hAnsi="Arial" w:cs="Arial"/>
        </w:rPr>
      </w:pPr>
      <w:r>
        <w:rPr>
          <w:rFonts w:ascii="Arial" w:hAnsi="Arial" w:cs="Arial"/>
        </w:rPr>
        <w:t>10)  LIMITATIONS/NOTES/INTERFERENCES</w:t>
      </w:r>
    </w:p>
    <w:p w14:paraId="64C3384D" w14:textId="77777777" w:rsidR="00881FDC" w:rsidRDefault="00881FDC" w:rsidP="00881FDC">
      <w:pPr>
        <w:pStyle w:val="DefaultText"/>
        <w:tabs>
          <w:tab w:val="left" w:pos="630"/>
          <w:tab w:val="left" w:pos="1080"/>
        </w:tabs>
        <w:rPr>
          <w:rFonts w:ascii="Arial" w:hAnsi="Arial" w:cs="Arial"/>
        </w:rPr>
      </w:pPr>
      <w:r>
        <w:rPr>
          <w:rFonts w:ascii="Arial" w:hAnsi="Arial" w:cs="Arial"/>
        </w:rPr>
        <w:t>11)  EXPECTED VALUES</w:t>
      </w:r>
    </w:p>
    <w:p w14:paraId="3053C687" w14:textId="77777777" w:rsidR="00881FDC" w:rsidRDefault="00881FDC" w:rsidP="00881FDC">
      <w:pPr>
        <w:pStyle w:val="DefaultText"/>
        <w:tabs>
          <w:tab w:val="left" w:pos="630"/>
          <w:tab w:val="left" w:pos="1080"/>
        </w:tabs>
        <w:rPr>
          <w:rFonts w:ascii="Arial" w:hAnsi="Arial" w:cs="Arial"/>
        </w:rPr>
      </w:pPr>
      <w:r>
        <w:rPr>
          <w:rFonts w:ascii="Arial" w:hAnsi="Arial" w:cs="Arial"/>
        </w:rPr>
        <w:t>12)  PERFORMANCE CHARACTERISTCS</w:t>
      </w:r>
    </w:p>
    <w:p w14:paraId="18F3F9BE" w14:textId="77777777" w:rsidR="00881FDC" w:rsidRDefault="00881FDC" w:rsidP="00881FDC">
      <w:pPr>
        <w:pStyle w:val="DefaultText"/>
        <w:tabs>
          <w:tab w:val="left" w:pos="630"/>
          <w:tab w:val="left" w:pos="1080"/>
        </w:tabs>
        <w:rPr>
          <w:rFonts w:ascii="Arial" w:hAnsi="Arial" w:cs="Arial"/>
        </w:rPr>
      </w:pPr>
      <w:r>
        <w:rPr>
          <w:rFonts w:ascii="Arial" w:hAnsi="Arial" w:cs="Arial"/>
        </w:rPr>
        <w:t>13)  BIBLIOGRAPHY (of pertinent references)</w:t>
      </w:r>
    </w:p>
    <w:p w14:paraId="62C0B98D" w14:textId="77777777" w:rsidR="00881FDC" w:rsidRDefault="00881FDC" w:rsidP="00881FDC">
      <w:pPr>
        <w:pStyle w:val="DefaultText"/>
        <w:tabs>
          <w:tab w:val="left" w:pos="630"/>
          <w:tab w:val="left" w:pos="1080"/>
        </w:tabs>
        <w:rPr>
          <w:rFonts w:ascii="Arial" w:hAnsi="Arial" w:cs="Arial"/>
        </w:rPr>
      </w:pPr>
      <w:r>
        <w:rPr>
          <w:rFonts w:ascii="Arial" w:hAnsi="Arial" w:cs="Arial"/>
        </w:rPr>
        <w:t>14)  NAME AND PLACE OF BUSINESS OF MANUFACTURER</w:t>
      </w:r>
    </w:p>
    <w:p w14:paraId="169B33A9" w14:textId="77777777" w:rsidR="00881FDC" w:rsidRDefault="00881FDC" w:rsidP="00881FDC">
      <w:pPr>
        <w:pStyle w:val="DefaultText"/>
        <w:tabs>
          <w:tab w:val="left" w:pos="630"/>
          <w:tab w:val="left" w:pos="1080"/>
        </w:tabs>
        <w:rPr>
          <w:rFonts w:ascii="Arial" w:hAnsi="Arial" w:cs="Arial"/>
        </w:rPr>
      </w:pPr>
      <w:r>
        <w:rPr>
          <w:rFonts w:ascii="Arial" w:hAnsi="Arial" w:cs="Arial"/>
        </w:rPr>
        <w:t>15)  DATE OF ISSUANCE OF LABELING (instructions)</w:t>
      </w:r>
    </w:p>
    <w:p w14:paraId="5B19A146" w14:textId="77777777" w:rsidR="00881FDC" w:rsidRDefault="00881FDC" w:rsidP="00881FDC">
      <w:pPr>
        <w:pStyle w:val="DefaultText"/>
        <w:tabs>
          <w:tab w:val="left" w:pos="630"/>
          <w:tab w:val="left" w:pos="1080"/>
        </w:tabs>
        <w:rPr>
          <w:rFonts w:ascii="Arial" w:hAnsi="Arial" w:cs="Arial"/>
        </w:rPr>
      </w:pPr>
    </w:p>
    <w:p w14:paraId="014CF431" w14:textId="77777777" w:rsidR="00881FDC" w:rsidRDefault="00881FDC" w:rsidP="00881FDC">
      <w:pPr>
        <w:pStyle w:val="DefaultText"/>
        <w:tabs>
          <w:tab w:val="left" w:pos="630"/>
          <w:tab w:val="left" w:pos="1080"/>
        </w:tabs>
        <w:jc w:val="center"/>
        <w:rPr>
          <w:rFonts w:ascii="Arial" w:hAnsi="Arial" w:cs="Arial"/>
        </w:rPr>
      </w:pPr>
      <w:r>
        <w:rPr>
          <w:rFonts w:ascii="Arial" w:hAnsi="Arial" w:cs="Arial"/>
        </w:rPr>
        <w:t xml:space="preserve">For Sales, Technical and Order Information, and Service Assistance, </w:t>
      </w:r>
      <w:r>
        <w:rPr>
          <w:rFonts w:ascii="Arial" w:hAnsi="Arial" w:cs="Arial"/>
        </w:rPr>
        <w:br/>
        <w:t>call Helena Laboratories toll free at 1-800-231-5663.</w:t>
      </w:r>
    </w:p>
    <w:p w14:paraId="0040B5A6" w14:textId="77777777" w:rsidR="00881FDC" w:rsidRDefault="00881FDC" w:rsidP="00881FDC">
      <w:pPr>
        <w:pStyle w:val="DefaultText"/>
        <w:tabs>
          <w:tab w:val="left" w:pos="630"/>
          <w:tab w:val="left" w:pos="1080"/>
        </w:tabs>
        <w:rPr>
          <w:rFonts w:ascii="Arial" w:hAnsi="Arial" w:cs="Arial"/>
        </w:rPr>
      </w:pPr>
    </w:p>
    <w:p w14:paraId="4D855D79" w14:textId="77777777" w:rsidR="00881FDC" w:rsidRDefault="00881FDC" w:rsidP="00881FDC">
      <w:pPr>
        <w:pStyle w:val="DefaultText"/>
        <w:tabs>
          <w:tab w:val="left" w:pos="630"/>
          <w:tab w:val="left" w:pos="1080"/>
        </w:tabs>
        <w:rPr>
          <w:rFonts w:ascii="Arial" w:hAnsi="Arial" w:cs="Arial"/>
        </w:rPr>
      </w:pPr>
    </w:p>
    <w:p w14:paraId="105FCAD4" w14:textId="77777777" w:rsidR="00881FDC" w:rsidRDefault="00881FDC" w:rsidP="00881FDC">
      <w:pPr>
        <w:pStyle w:val="DefaultText"/>
        <w:tabs>
          <w:tab w:val="left" w:pos="630"/>
          <w:tab w:val="left" w:pos="1080"/>
        </w:tabs>
        <w:rPr>
          <w:rFonts w:ascii="Arial" w:hAnsi="Arial" w:cs="Arial"/>
        </w:rPr>
      </w:pPr>
    </w:p>
    <w:p w14:paraId="45F4E941" w14:textId="77777777" w:rsidR="00881FDC" w:rsidRDefault="00881FDC" w:rsidP="00881FDC">
      <w:pPr>
        <w:pStyle w:val="DefaultText"/>
        <w:tabs>
          <w:tab w:val="left" w:pos="630"/>
          <w:tab w:val="left" w:pos="1080"/>
        </w:tabs>
        <w:rPr>
          <w:rFonts w:ascii="Arial" w:hAnsi="Arial" w:cs="Arial"/>
        </w:rPr>
      </w:pPr>
      <w:r>
        <w:rPr>
          <w:rFonts w:ascii="Arial" w:hAnsi="Arial" w:cs="Arial"/>
        </w:rPr>
        <w:t>Form 364</w:t>
      </w:r>
    </w:p>
    <w:p w14:paraId="5FA52BF7" w14:textId="77777777" w:rsidR="00881FDC" w:rsidRDefault="00881FDC" w:rsidP="00881FDC">
      <w:pPr>
        <w:pStyle w:val="DefaultText"/>
        <w:tabs>
          <w:tab w:val="left" w:pos="630"/>
          <w:tab w:val="left" w:pos="1080"/>
        </w:tabs>
        <w:rPr>
          <w:rFonts w:ascii="Arial" w:hAnsi="Arial" w:cs="Arial"/>
        </w:rPr>
      </w:pPr>
      <w:r>
        <w:rPr>
          <w:rFonts w:ascii="Arial" w:hAnsi="Arial" w:cs="Arial"/>
        </w:rPr>
        <w:t>Helena Laboratories</w:t>
      </w:r>
    </w:p>
    <w:p w14:paraId="5E949C43" w14:textId="77777777" w:rsidR="00881FDC" w:rsidRDefault="00881FDC" w:rsidP="00881FDC">
      <w:pPr>
        <w:pStyle w:val="DefaultText"/>
        <w:tabs>
          <w:tab w:val="left" w:pos="630"/>
          <w:tab w:val="left" w:pos="1080"/>
        </w:tabs>
        <w:rPr>
          <w:rFonts w:ascii="Arial" w:hAnsi="Arial" w:cs="Arial"/>
        </w:rPr>
      </w:pPr>
      <w:r>
        <w:rPr>
          <w:rFonts w:ascii="Arial" w:hAnsi="Arial" w:cs="Arial"/>
        </w:rPr>
        <w:t>1/2006 (Rev 3)</w:t>
      </w:r>
    </w:p>
    <w:p w14:paraId="6345B3F0" w14:textId="77777777" w:rsidR="00095C74" w:rsidRDefault="00095C74" w:rsidP="00881FDC">
      <w:pPr>
        <w:rPr>
          <w:w w:val="95"/>
        </w:rPr>
      </w:pPr>
    </w:p>
    <w:p w14:paraId="3295C957" w14:textId="77777777" w:rsidR="00095C74" w:rsidRDefault="00095C74" w:rsidP="00881FDC">
      <w:pPr>
        <w:rPr>
          <w:w w:val="95"/>
        </w:rPr>
      </w:pPr>
    </w:p>
    <w:p w14:paraId="60AAEA92"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4AC04560"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1BF38D24"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160775B5"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7B79DD53"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07233192"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3B40901A"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0D686B1B"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6302FFD7"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6270DA07"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455145CD"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5AB1F637"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3627847F"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5C7442D7"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555751BD"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00906BCB"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43837BFD"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5C0A7EC7"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56825B52"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3FB5DCFE"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7914819C"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4E2A0C82"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2003CE15"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71FB23DC"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512FD53B"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6289450C" w14:textId="77777777" w:rsidR="00095C74" w:rsidRPr="00095C74" w:rsidRDefault="00095C74" w:rsidP="00095C74">
      <w:pPr>
        <w:widowControl/>
        <w:suppressAutoHyphens/>
        <w:adjustRightInd w:val="0"/>
        <w:spacing w:line="288" w:lineRule="auto"/>
        <w:textAlignment w:val="center"/>
        <w:rPr>
          <w:rFonts w:eastAsiaTheme="minorHAnsi"/>
          <w:b/>
          <w:bCs/>
          <w:color w:val="000000"/>
          <w:spacing w:val="-1"/>
          <w:sz w:val="20"/>
          <w:szCs w:val="20"/>
        </w:rPr>
      </w:pPr>
      <w:r w:rsidRPr="00095C74">
        <w:rPr>
          <w:rFonts w:eastAsiaTheme="minorHAnsi"/>
          <w:color w:val="000000"/>
          <w:spacing w:val="-1"/>
          <w:sz w:val="12"/>
          <w:szCs w:val="12"/>
        </w:rPr>
        <w:lastRenderedPageBreak/>
        <w:t>English</w:t>
      </w:r>
    </w:p>
    <w:p w14:paraId="472AD180" w14:textId="77777777" w:rsidR="00095C74" w:rsidRPr="00095C74" w:rsidRDefault="00095C74" w:rsidP="00095C74">
      <w:pPr>
        <w:widowControl/>
        <w:adjustRightInd w:val="0"/>
        <w:spacing w:line="288" w:lineRule="auto"/>
        <w:textAlignment w:val="center"/>
        <w:rPr>
          <w:rFonts w:eastAsiaTheme="minorHAnsi"/>
          <w:b/>
          <w:bCs/>
          <w:color w:val="000000"/>
          <w:spacing w:val="-2"/>
        </w:rPr>
      </w:pPr>
      <w:r w:rsidRPr="00095C74">
        <w:rPr>
          <w:rFonts w:eastAsiaTheme="minorHAnsi"/>
          <w:b/>
          <w:bCs/>
          <w:color w:val="000000"/>
          <w:spacing w:val="-2"/>
        </w:rPr>
        <w:t>Cascade</w:t>
      </w:r>
      <w:r w:rsidRPr="00095C74">
        <w:rPr>
          <w:rFonts w:eastAsiaTheme="minorHAnsi"/>
          <w:b/>
          <w:bCs/>
          <w:color w:val="000000"/>
          <w:spacing w:val="-2"/>
          <w:vertAlign w:val="superscript"/>
        </w:rPr>
        <w:t>®</w:t>
      </w:r>
      <w:r w:rsidRPr="00095C74">
        <w:rPr>
          <w:rFonts w:eastAsiaTheme="minorHAnsi"/>
          <w:b/>
          <w:bCs/>
          <w:color w:val="000000"/>
          <w:spacing w:val="-2"/>
        </w:rPr>
        <w:t xml:space="preserve"> Abrazo</w:t>
      </w:r>
      <w:r w:rsidRPr="00095C74">
        <w:rPr>
          <w:rFonts w:eastAsiaTheme="minorHAnsi"/>
          <w:b/>
          <w:bCs/>
          <w:color w:val="000000"/>
          <w:spacing w:val="-2"/>
          <w:vertAlign w:val="superscript"/>
        </w:rPr>
        <w:t>®</w:t>
      </w:r>
      <w:r w:rsidRPr="00095C74">
        <w:rPr>
          <w:rFonts w:eastAsiaTheme="minorHAnsi"/>
          <w:b/>
          <w:bCs/>
          <w:color w:val="000000"/>
          <w:spacing w:val="-2"/>
        </w:rPr>
        <w:t xml:space="preserve"> Electronic QC</w:t>
      </w:r>
    </w:p>
    <w:p w14:paraId="25EDE382" w14:textId="35545709" w:rsidR="00095C74" w:rsidRDefault="00095C74" w:rsidP="00095C74">
      <w:pPr>
        <w:widowControl/>
        <w:adjustRightInd w:val="0"/>
        <w:spacing w:before="20" w:line="288" w:lineRule="auto"/>
        <w:textAlignment w:val="center"/>
        <w:rPr>
          <w:rFonts w:eastAsiaTheme="minorHAnsi"/>
          <w:b/>
          <w:bCs/>
          <w:color w:val="000000"/>
          <w:spacing w:val="-2"/>
        </w:rPr>
      </w:pPr>
      <w:r w:rsidRPr="00095C74">
        <w:rPr>
          <w:rFonts w:eastAsiaTheme="minorHAnsi"/>
          <w:b/>
          <w:bCs/>
          <w:color w:val="000000"/>
          <w:spacing w:val="-2"/>
        </w:rPr>
        <w:t>(EQC) Test Card</w:t>
      </w:r>
    </w:p>
    <w:p w14:paraId="7F9BBA2D" w14:textId="14423C3F" w:rsidR="00095C74" w:rsidRDefault="00095C74" w:rsidP="00095C74">
      <w:pPr>
        <w:widowControl/>
        <w:adjustRightInd w:val="0"/>
        <w:spacing w:before="20" w:line="288" w:lineRule="auto"/>
        <w:textAlignment w:val="center"/>
        <w:rPr>
          <w:rFonts w:eastAsiaTheme="minorHAnsi"/>
          <w:b/>
          <w:bCs/>
          <w:color w:val="000000"/>
          <w:spacing w:val="-2"/>
        </w:rPr>
      </w:pPr>
      <w:r w:rsidRPr="00095C74">
        <w:rPr>
          <w:rFonts w:eastAsiaTheme="minorHAnsi"/>
          <w:b/>
          <w:bCs/>
          <w:color w:val="000000"/>
          <w:spacing w:val="-1"/>
          <w:sz w:val="14"/>
          <w:szCs w:val="14"/>
        </w:rPr>
        <w:t>Cat. No. 5848</w:t>
      </w:r>
    </w:p>
    <w:p w14:paraId="3E0612F8"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66CAE971" w14:textId="0BB8384B" w:rsidR="00095C74" w:rsidRPr="00095C74" w:rsidRDefault="00095C74" w:rsidP="00095C74">
      <w:pPr>
        <w:widowControl/>
        <w:adjustRightInd w:val="0"/>
        <w:spacing w:before="20" w:line="288" w:lineRule="auto"/>
        <w:textAlignment w:val="center"/>
        <w:rPr>
          <w:rFonts w:eastAsiaTheme="minorHAnsi"/>
          <w:b/>
          <w:bCs/>
          <w:color w:val="000000"/>
          <w:spacing w:val="-1"/>
          <w:sz w:val="14"/>
          <w:szCs w:val="14"/>
        </w:rPr>
      </w:pPr>
      <w:r>
        <w:rPr>
          <w:rFonts w:eastAsiaTheme="minorHAnsi"/>
          <w:b/>
          <w:bCs/>
          <w:color w:val="000000"/>
          <w:spacing w:val="-1"/>
          <w:sz w:val="14"/>
          <w:szCs w:val="14"/>
        </w:rPr>
        <w:t xml:space="preserve">   </w:t>
      </w:r>
      <w:r w:rsidRPr="00095C74">
        <w:rPr>
          <w:rFonts w:eastAsiaTheme="minorHAnsi"/>
          <w:b/>
          <w:bCs/>
          <w:noProof/>
          <w:color w:val="000000"/>
          <w:spacing w:val="-1"/>
          <w:sz w:val="14"/>
          <w:szCs w:val="14"/>
        </w:rPr>
        <w:drawing>
          <wp:inline distT="0" distB="0" distL="0" distR="0" wp14:anchorId="4BAF6528" wp14:editId="22C896C9">
            <wp:extent cx="342900" cy="469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900" cy="469900"/>
                    </a:xfrm>
                    <a:prstGeom prst="rect">
                      <a:avLst/>
                    </a:prstGeom>
                  </pic:spPr>
                </pic:pic>
              </a:graphicData>
            </a:graphic>
          </wp:inline>
        </w:drawing>
      </w:r>
      <w:r>
        <w:rPr>
          <w:rFonts w:eastAsiaTheme="minorHAnsi"/>
          <w:b/>
          <w:bCs/>
          <w:color w:val="000000"/>
          <w:spacing w:val="-1"/>
          <w:sz w:val="14"/>
          <w:szCs w:val="14"/>
        </w:rPr>
        <w:t xml:space="preserve">  </w:t>
      </w:r>
    </w:p>
    <w:p w14:paraId="01CD9EC5" w14:textId="77777777" w:rsidR="00095C74" w:rsidRDefault="00095C74" w:rsidP="00095C74">
      <w:pPr>
        <w:widowControl/>
        <w:adjustRightInd w:val="0"/>
        <w:spacing w:before="20" w:line="288" w:lineRule="auto"/>
        <w:textAlignment w:val="center"/>
        <w:rPr>
          <w:rFonts w:eastAsiaTheme="minorHAnsi"/>
          <w:b/>
          <w:bCs/>
          <w:color w:val="000000"/>
          <w:spacing w:val="-1"/>
          <w:sz w:val="14"/>
          <w:szCs w:val="14"/>
        </w:rPr>
      </w:pPr>
    </w:p>
    <w:p w14:paraId="14ECEF5C" w14:textId="77777777" w:rsidR="00E7703F" w:rsidRPr="00E7703F" w:rsidRDefault="00E7703F" w:rsidP="00E7703F">
      <w:pPr>
        <w:widowControl/>
        <w:adjustRightInd w:val="0"/>
        <w:spacing w:before="20" w:line="288" w:lineRule="auto"/>
        <w:textAlignment w:val="center"/>
        <w:rPr>
          <w:rFonts w:eastAsiaTheme="minorHAnsi"/>
          <w:b/>
          <w:bCs/>
          <w:color w:val="000000"/>
          <w:spacing w:val="-1"/>
          <w:sz w:val="16"/>
          <w:szCs w:val="16"/>
        </w:rPr>
      </w:pPr>
      <w:r w:rsidRPr="00E7703F">
        <w:rPr>
          <w:rFonts w:eastAsiaTheme="minorHAnsi"/>
          <w:b/>
          <w:bCs/>
          <w:color w:val="000000"/>
          <w:spacing w:val="-1"/>
          <w:sz w:val="16"/>
          <w:szCs w:val="16"/>
        </w:rPr>
        <w:t>Contents</w:t>
      </w:r>
    </w:p>
    <w:p w14:paraId="60A76660"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1 EQC Test Card</w:t>
      </w:r>
    </w:p>
    <w:p w14:paraId="110F556F"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Intended Use</w:t>
      </w:r>
    </w:p>
    <w:p w14:paraId="144D2DA9"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Electronic Quality Control (EQC) Test Card is used with the Cascade Abrazo analyzer to help ensure that the electronic components of the analyzer are working properly. It is intended for use as part of a daily quality control regimen by trained medical professionals. The EQC Test Card is intended to supplement the quality control plasma, but not as its replacement.</w:t>
      </w:r>
    </w:p>
    <w:p w14:paraId="6FDD77EB"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 xml:space="preserve">The EQC Test Card is a reusable quality control test card intended for repeated use on one instrument. It can be used for up to 600 tests or six months after first use. Place the EQC Card into the EQC Renew Sleeve for storage after </w:t>
      </w:r>
      <w:r w:rsidRPr="00E7703F">
        <w:rPr>
          <w:rFonts w:eastAsiaTheme="minorHAnsi"/>
          <w:color w:val="000000"/>
          <w:spacing w:val="-1"/>
          <w:sz w:val="16"/>
          <w:szCs w:val="16"/>
          <w:u w:val="thick"/>
        </w:rPr>
        <w:t>each</w:t>
      </w:r>
      <w:r w:rsidRPr="00E7703F">
        <w:rPr>
          <w:rFonts w:eastAsiaTheme="minorHAnsi"/>
          <w:color w:val="000000"/>
          <w:spacing w:val="-1"/>
          <w:sz w:val="16"/>
          <w:szCs w:val="16"/>
        </w:rPr>
        <w:t xml:space="preserve"> test run. If one card is used on multiple instruments, the total usage must be limited to 600 EQC runs of all 3 levels.</w:t>
      </w:r>
    </w:p>
    <w:p w14:paraId="1E4E762C"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Summary</w:t>
      </w:r>
    </w:p>
    <w:p w14:paraId="43183CF1"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Routine quality control testing and tracking are part of a comprehensive quality assurance program. Abrazo products make routine quality control convenient and affordable. It is recommended that once during each shift the analyzer is used, three levels of quality control checks be performed on the analyzer, using the EQC Test Card, to assure optimum analyzer performance. Two levels of control plasma should be run periodically as a method of assuring the accuracy of specific thrombosis test results.</w:t>
      </w:r>
      <w:r w:rsidRPr="00E7703F">
        <w:rPr>
          <w:rFonts w:eastAsiaTheme="minorHAnsi"/>
          <w:color w:val="000000"/>
          <w:spacing w:val="-1"/>
          <w:sz w:val="16"/>
          <w:szCs w:val="16"/>
          <w:vertAlign w:val="superscript"/>
        </w:rPr>
        <w:t>1</w:t>
      </w:r>
    </w:p>
    <w:p w14:paraId="13E6C3EB"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Principle</w:t>
      </w:r>
    </w:p>
    <w:p w14:paraId="16F6C419"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EQC test card is similar in appearance to the Abrazo reagent test cards. The reaction area on the front of the EQC card is composed of a magnetic material. No sample is added to the card.</w:t>
      </w:r>
    </w:p>
    <w:p w14:paraId="13CDAFA1"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A 2D barcode on the back of the EQC card contains lot-specific information, such as test type, lot number, and calibration parameters. The analyzer reads this information upon initiation of a test.</w:t>
      </w:r>
    </w:p>
    <w:p w14:paraId="54D75DF9"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 xml:space="preserve">The analyzer produces an oscillation magnetic field, </w:t>
      </w:r>
      <w:proofErr w:type="gramStart"/>
      <w:r w:rsidRPr="00E7703F">
        <w:rPr>
          <w:rFonts w:eastAsiaTheme="minorHAnsi"/>
          <w:color w:val="000000"/>
          <w:spacing w:val="-1"/>
          <w:sz w:val="16"/>
          <w:szCs w:val="16"/>
        </w:rPr>
        <w:t>using  an</w:t>
      </w:r>
      <w:proofErr w:type="gramEnd"/>
      <w:r w:rsidRPr="00E7703F">
        <w:rPr>
          <w:rFonts w:eastAsiaTheme="minorHAnsi"/>
          <w:color w:val="000000"/>
          <w:spacing w:val="-1"/>
          <w:sz w:val="16"/>
          <w:szCs w:val="16"/>
        </w:rPr>
        <w:t xml:space="preserve"> electromagnet with an alternating field and a thin permanent magnet mounted at a right angle above it. As soon as the EQC Test Card is inserted into the analyzer, the test begins. The reaction chamber of the card is illuminated with light from a light emitting diode mounted adjacent to a light detector. This light reflects off the test card surface and is measured. The electromagnet cycles off and on once every second. Particles in the magnetic film stand up when the magnet is on, causing more light to reflect off the card, and fall down when it is off, causing less light to reflect off the card. This particle movement produces the signal.</w:t>
      </w:r>
    </w:p>
    <w:p w14:paraId="653CF2EB"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Information encoded on the EQC test card turns the electromagnet off at 30, 90, and 270 seconds. The analyzer then reports clotting time and signal strengths at these time intervals.</w:t>
      </w:r>
    </w:p>
    <w:p w14:paraId="6E401CED"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EQC Test Card must be stored in a protective sleeve designed to evenly disperse the magnetic particles in the EQC card. This helps prevent signal strength failures and allows for an accurate assessment of the electromagnet and optics in the instrument. The EQC Renew Sleeve is not disposable and can be used with each new lot of EQC cards.</w:t>
      </w:r>
    </w:p>
    <w:p w14:paraId="2CA29E18" w14:textId="77777777" w:rsidR="00E7703F" w:rsidRPr="00E7703F" w:rsidRDefault="00E7703F" w:rsidP="00E7703F">
      <w:pPr>
        <w:widowControl/>
        <w:adjustRightInd w:val="0"/>
        <w:spacing w:before="20" w:line="180" w:lineRule="atLeast"/>
        <w:textAlignment w:val="center"/>
        <w:rPr>
          <w:rFonts w:eastAsiaTheme="minorHAnsi"/>
          <w:b/>
          <w:bCs/>
          <w:caps/>
          <w:strike/>
          <w:color w:val="000000"/>
          <w:sz w:val="16"/>
          <w:szCs w:val="16"/>
        </w:rPr>
      </w:pPr>
      <w:r w:rsidRPr="00E7703F">
        <w:rPr>
          <w:rFonts w:eastAsiaTheme="minorHAnsi"/>
          <w:b/>
          <w:bCs/>
          <w:caps/>
          <w:color w:val="000000"/>
          <w:sz w:val="16"/>
          <w:szCs w:val="16"/>
        </w:rPr>
        <w:t>Card Components</w:t>
      </w:r>
    </w:p>
    <w:p w14:paraId="7597CB11"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For in vitro diagnostic use only.</w:t>
      </w:r>
    </w:p>
    <w:p w14:paraId="191DB3FC" w14:textId="065DC860"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EQC Test Card contains a magnetic film placed in the reaction chamber area.</w:t>
      </w:r>
      <w:r w:rsidRPr="00E7703F">
        <w:rPr>
          <w:rFonts w:eastAsiaTheme="minorHAnsi"/>
          <w:b/>
          <w:bCs/>
          <w:color w:val="000000"/>
          <w:spacing w:val="-1"/>
          <w:sz w:val="16"/>
          <w:szCs w:val="16"/>
        </w:rPr>
        <w:tab/>
      </w:r>
      <w:r w:rsidRPr="00E7703F">
        <w:rPr>
          <w:rFonts w:eastAsiaTheme="minorHAnsi"/>
          <w:b/>
          <w:bCs/>
          <w:color w:val="000000"/>
          <w:spacing w:val="-1"/>
          <w:sz w:val="16"/>
          <w:szCs w:val="16"/>
        </w:rPr>
        <w:br/>
        <w:t xml:space="preserve">CAUTION! POTENTIAL BIOHAZARD: </w:t>
      </w:r>
      <w:r w:rsidRPr="00E7703F">
        <w:rPr>
          <w:rFonts w:eastAsiaTheme="minorHAnsi"/>
          <w:color w:val="000000"/>
          <w:spacing w:val="-1"/>
          <w:sz w:val="16"/>
          <w:szCs w:val="16"/>
        </w:rPr>
        <w:t>Once used in the analyzer, the EQC Test Card has been exposed to biohazardous materials. Handle the EQC card and the Renew Sleeve according to normal procedures for biohazards. When necessary to wipe off the EQC Test Card, use a soft disposable wipe and warm water. Do not use chlorine or solvents to clean the card.</w:t>
      </w:r>
    </w:p>
    <w:p w14:paraId="238E89A3"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b/>
          <w:bCs/>
          <w:color w:val="000000"/>
          <w:spacing w:val="-1"/>
          <w:sz w:val="16"/>
          <w:szCs w:val="16"/>
        </w:rPr>
        <w:t>Storage:</w:t>
      </w:r>
      <w:r w:rsidRPr="00E7703F">
        <w:rPr>
          <w:rFonts w:eastAsiaTheme="minorHAnsi"/>
          <w:color w:val="000000"/>
          <w:spacing w:val="-1"/>
          <w:sz w:val="16"/>
          <w:szCs w:val="16"/>
        </w:rPr>
        <w:t xml:space="preserve"> Store the EQC Test Card at a temperature of 15 to 30°C (59–86°F). It is recommended that the card be stored in the EQC Renew Sleeve or the Docking Station after each test cycle. Store away from strong sunlight and magnetic fields. The EQC Test Card may be used up to six months after the date of first use. Using a permanent marker pen, record the date of first use and 6 months from that date as the expiration date in the space provided on the back of the card.</w:t>
      </w:r>
    </w:p>
    <w:p w14:paraId="2E4309CF"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Specimen Collection and Preparation</w:t>
      </w:r>
    </w:p>
    <w:p w14:paraId="5CDC0AA3"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No specimen is used with the EQC Test Card.</w:t>
      </w:r>
    </w:p>
    <w:p w14:paraId="0090F126" w14:textId="77777777" w:rsidR="00E7703F" w:rsidRPr="00E7703F" w:rsidRDefault="00E7703F" w:rsidP="00E7703F">
      <w:pPr>
        <w:widowControl/>
        <w:adjustRightInd w:val="0"/>
        <w:spacing w:line="180" w:lineRule="atLeast"/>
        <w:textAlignment w:val="center"/>
        <w:rPr>
          <w:rFonts w:eastAsiaTheme="minorHAnsi"/>
          <w:b/>
          <w:bCs/>
          <w:caps/>
          <w:color w:val="000000"/>
          <w:sz w:val="16"/>
          <w:szCs w:val="16"/>
        </w:rPr>
      </w:pPr>
      <w:r w:rsidRPr="00E7703F">
        <w:rPr>
          <w:rFonts w:eastAsiaTheme="minorHAnsi"/>
          <w:b/>
          <w:bCs/>
          <w:caps/>
          <w:color w:val="000000"/>
          <w:sz w:val="16"/>
          <w:szCs w:val="16"/>
        </w:rPr>
        <w:t>Procedure</w:t>
      </w:r>
    </w:p>
    <w:p w14:paraId="538001CA" w14:textId="77777777" w:rsidR="00E7703F" w:rsidRPr="00E7703F" w:rsidRDefault="00E7703F" w:rsidP="00E7703F">
      <w:pPr>
        <w:widowControl/>
        <w:adjustRightInd w:val="0"/>
        <w:spacing w:line="288" w:lineRule="auto"/>
        <w:textAlignment w:val="center"/>
        <w:rPr>
          <w:rFonts w:eastAsiaTheme="minorHAnsi"/>
          <w:b/>
          <w:bCs/>
          <w:color w:val="000000"/>
          <w:spacing w:val="-1"/>
          <w:sz w:val="16"/>
          <w:szCs w:val="16"/>
        </w:rPr>
      </w:pPr>
      <w:r w:rsidRPr="00E7703F">
        <w:rPr>
          <w:rFonts w:eastAsiaTheme="minorHAnsi"/>
          <w:b/>
          <w:bCs/>
          <w:color w:val="000000"/>
          <w:spacing w:val="-1"/>
          <w:sz w:val="16"/>
          <w:szCs w:val="16"/>
        </w:rPr>
        <w:t xml:space="preserve">Materials Required </w:t>
      </w:r>
      <w:proofErr w:type="gramStart"/>
      <w:r w:rsidRPr="00E7703F">
        <w:rPr>
          <w:rFonts w:eastAsiaTheme="minorHAnsi"/>
          <w:b/>
          <w:bCs/>
          <w:color w:val="000000"/>
          <w:spacing w:val="-1"/>
          <w:sz w:val="16"/>
          <w:szCs w:val="16"/>
        </w:rPr>
        <w:t>But</w:t>
      </w:r>
      <w:proofErr w:type="gramEnd"/>
      <w:r w:rsidRPr="00E7703F">
        <w:rPr>
          <w:rFonts w:eastAsiaTheme="minorHAnsi"/>
          <w:b/>
          <w:bCs/>
          <w:color w:val="000000"/>
          <w:spacing w:val="-1"/>
          <w:sz w:val="16"/>
          <w:szCs w:val="16"/>
        </w:rPr>
        <w:t xml:space="preserve"> Not Provided:</w:t>
      </w:r>
    </w:p>
    <w:p w14:paraId="70D18B0E"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Cascade Abrazo analyzer- Cat. No. 5710</w:t>
      </w:r>
    </w:p>
    <w:p w14:paraId="31D09A3D" w14:textId="74268F8B"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Cascade Abrazo Operator’s Manual</w:t>
      </w:r>
    </w:p>
    <w:p w14:paraId="2AB9DD45" w14:textId="0FE23561"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Cascade EQC Renew Sleeve - Cat. No. 5849</w:t>
      </w:r>
    </w:p>
    <w:p w14:paraId="376A6201" w14:textId="77777777" w:rsidR="00E7703F" w:rsidRPr="00E7703F" w:rsidRDefault="00E7703F" w:rsidP="00E7703F">
      <w:pPr>
        <w:widowControl/>
        <w:tabs>
          <w:tab w:val="left" w:pos="240"/>
          <w:tab w:val="left" w:pos="460"/>
        </w:tabs>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Step-by-step</w:t>
      </w:r>
    </w:p>
    <w:p w14:paraId="073E9436" w14:textId="0878730B"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1.</w:t>
      </w:r>
      <w:r w:rsidRPr="00E7703F">
        <w:rPr>
          <w:rFonts w:eastAsiaTheme="minorHAnsi"/>
          <w:color w:val="000000"/>
          <w:spacing w:val="-1"/>
          <w:sz w:val="16"/>
          <w:szCs w:val="16"/>
        </w:rPr>
        <w:tab/>
        <w:t xml:space="preserve">At the MAIN MENU screen, press the QC </w:t>
      </w:r>
      <w:r w:rsidRPr="00E7703F">
        <w:rPr>
          <w:rFonts w:eastAsiaTheme="minorHAnsi"/>
          <w:caps/>
          <w:color w:val="000000"/>
          <w:spacing w:val="-1"/>
          <w:sz w:val="16"/>
          <w:szCs w:val="16"/>
        </w:rPr>
        <w:t>Test</w:t>
      </w:r>
      <w:r w:rsidRPr="00E7703F">
        <w:rPr>
          <w:rFonts w:eastAsiaTheme="minorHAnsi"/>
          <w:color w:val="000000"/>
          <w:spacing w:val="-1"/>
          <w:sz w:val="16"/>
          <w:szCs w:val="16"/>
        </w:rPr>
        <w:t xml:space="preserve"> button. The QC TYPE screen appears with the two types of QC tests available.</w:t>
      </w:r>
    </w:p>
    <w:p w14:paraId="06C898EA" w14:textId="159ECF03"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2.</w:t>
      </w:r>
      <w:r w:rsidRPr="00E7703F">
        <w:rPr>
          <w:rFonts w:eastAsiaTheme="minorHAnsi"/>
          <w:color w:val="000000"/>
          <w:spacing w:val="-1"/>
          <w:sz w:val="16"/>
          <w:szCs w:val="16"/>
        </w:rPr>
        <w:tab/>
        <w:t xml:space="preserve">Press the EQC button. The </w:t>
      </w:r>
      <w:r w:rsidRPr="00E7703F">
        <w:rPr>
          <w:rFonts w:eastAsiaTheme="minorHAnsi"/>
          <w:caps/>
          <w:color w:val="000000"/>
          <w:spacing w:val="-1"/>
          <w:sz w:val="16"/>
          <w:szCs w:val="16"/>
        </w:rPr>
        <w:t>Abrazo</w:t>
      </w:r>
      <w:r w:rsidRPr="00E7703F">
        <w:rPr>
          <w:rFonts w:eastAsiaTheme="minorHAnsi"/>
          <w:color w:val="000000"/>
          <w:spacing w:val="-1"/>
          <w:sz w:val="16"/>
          <w:szCs w:val="16"/>
        </w:rPr>
        <w:t xml:space="preserve"> prompts the user to scan the barcode on the back of the EQC card.</w:t>
      </w:r>
    </w:p>
    <w:p w14:paraId="589EEC73" w14:textId="66B0544C"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3.</w:t>
      </w:r>
      <w:r w:rsidRPr="00E7703F">
        <w:rPr>
          <w:rFonts w:eastAsiaTheme="minorHAnsi"/>
          <w:color w:val="000000"/>
          <w:spacing w:val="-1"/>
          <w:sz w:val="16"/>
          <w:szCs w:val="16"/>
        </w:rPr>
        <w:tab/>
        <w:t>When prompted, insert the EQC test card. The analyzer warms the card before performing the EQC test.</w:t>
      </w:r>
    </w:p>
    <w:p w14:paraId="63E1CE65" w14:textId="698321B0"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4.</w:t>
      </w:r>
      <w:r w:rsidRPr="00E7703F">
        <w:rPr>
          <w:rFonts w:eastAsiaTheme="minorHAnsi"/>
          <w:color w:val="000000"/>
          <w:spacing w:val="-1"/>
          <w:sz w:val="16"/>
          <w:szCs w:val="16"/>
        </w:rPr>
        <w:tab/>
        <w:t>An hourglass is displayed above the message, TESTING IN PROGRESS, while the test is being performed.</w:t>
      </w:r>
    </w:p>
    <w:p w14:paraId="68B7D1A1" w14:textId="4B5A7D3B"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5.</w:t>
      </w:r>
      <w:r w:rsidRPr="00E7703F">
        <w:rPr>
          <w:rFonts w:eastAsiaTheme="minorHAnsi"/>
          <w:color w:val="000000"/>
          <w:spacing w:val="-1"/>
          <w:sz w:val="16"/>
          <w:szCs w:val="16"/>
        </w:rPr>
        <w:tab/>
        <w:t xml:space="preserve">At the end of this test, </w:t>
      </w:r>
      <w:proofErr w:type="gramStart"/>
      <w:r w:rsidRPr="00E7703F">
        <w:rPr>
          <w:rFonts w:eastAsiaTheme="minorHAnsi"/>
          <w:color w:val="000000"/>
          <w:spacing w:val="-1"/>
          <w:sz w:val="16"/>
          <w:szCs w:val="16"/>
        </w:rPr>
        <w:t>Result</w:t>
      </w:r>
      <w:proofErr w:type="gramEnd"/>
      <w:r w:rsidRPr="00E7703F">
        <w:rPr>
          <w:rFonts w:eastAsiaTheme="minorHAnsi"/>
          <w:color w:val="000000"/>
          <w:spacing w:val="-1"/>
          <w:sz w:val="16"/>
          <w:szCs w:val="16"/>
        </w:rPr>
        <w:t xml:space="preserve"> 1 clotting time count (CT) and the signal strength are displayed on the screen. The CT results represent the clotting time returned by the algorithm analyzing the AC signal collected from the EQC test card. After the </w:t>
      </w:r>
      <w:r w:rsidRPr="00E7703F">
        <w:rPr>
          <w:rFonts w:eastAsiaTheme="minorHAnsi"/>
          <w:caps/>
          <w:color w:val="000000"/>
          <w:spacing w:val="-1"/>
          <w:sz w:val="16"/>
          <w:szCs w:val="16"/>
        </w:rPr>
        <w:t>Result Screen</w:t>
      </w:r>
      <w:r w:rsidRPr="00E7703F">
        <w:rPr>
          <w:rFonts w:eastAsiaTheme="minorHAnsi"/>
          <w:color w:val="000000"/>
          <w:spacing w:val="-1"/>
          <w:sz w:val="16"/>
          <w:szCs w:val="16"/>
        </w:rPr>
        <w:t xml:space="preserve"> is displayed, the analyzer will automatically proceed to the next test level.</w:t>
      </w:r>
    </w:p>
    <w:p w14:paraId="6EF1FEA1" w14:textId="595274DF"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6.</w:t>
      </w:r>
      <w:r w:rsidRPr="00E7703F">
        <w:rPr>
          <w:rFonts w:eastAsiaTheme="minorHAnsi"/>
          <w:color w:val="000000"/>
          <w:spacing w:val="-1"/>
          <w:sz w:val="16"/>
          <w:szCs w:val="16"/>
        </w:rPr>
        <w:tab/>
        <w:t>The EQC</w:t>
      </w:r>
      <w:r w:rsidRPr="00E7703F">
        <w:rPr>
          <w:rFonts w:eastAsiaTheme="minorHAnsi"/>
          <w:caps/>
          <w:color w:val="000000"/>
          <w:spacing w:val="-1"/>
          <w:sz w:val="16"/>
          <w:szCs w:val="16"/>
        </w:rPr>
        <w:t xml:space="preserve"> test in progress</w:t>
      </w:r>
      <w:r w:rsidRPr="00E7703F">
        <w:rPr>
          <w:rFonts w:eastAsiaTheme="minorHAnsi"/>
          <w:color w:val="000000"/>
          <w:spacing w:val="-1"/>
          <w:sz w:val="16"/>
          <w:szCs w:val="16"/>
        </w:rPr>
        <w:t xml:space="preserve"> screen displays. At the end of this test, </w:t>
      </w:r>
      <w:proofErr w:type="gramStart"/>
      <w:r w:rsidRPr="00E7703F">
        <w:rPr>
          <w:rFonts w:eastAsiaTheme="minorHAnsi"/>
          <w:color w:val="000000"/>
          <w:spacing w:val="-1"/>
          <w:sz w:val="16"/>
          <w:szCs w:val="16"/>
        </w:rPr>
        <w:t>Result</w:t>
      </w:r>
      <w:proofErr w:type="gramEnd"/>
      <w:r w:rsidRPr="00E7703F">
        <w:rPr>
          <w:rFonts w:eastAsiaTheme="minorHAnsi"/>
          <w:color w:val="000000"/>
          <w:spacing w:val="-1"/>
          <w:sz w:val="16"/>
          <w:szCs w:val="16"/>
        </w:rPr>
        <w:t xml:space="preserve"> 2 EQC clotting time and signal strength are displayed. The analyzer will continue to the next test level.</w:t>
      </w:r>
    </w:p>
    <w:p w14:paraId="54C24AF7" w14:textId="5EE6DA52"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7.</w:t>
      </w:r>
      <w:r w:rsidRPr="00E7703F">
        <w:rPr>
          <w:rFonts w:eastAsiaTheme="minorHAnsi"/>
          <w:color w:val="000000"/>
          <w:spacing w:val="-1"/>
          <w:sz w:val="16"/>
          <w:szCs w:val="16"/>
        </w:rPr>
        <w:tab/>
        <w:t xml:space="preserve">At the end of this test, </w:t>
      </w:r>
      <w:proofErr w:type="gramStart"/>
      <w:r w:rsidRPr="00E7703F">
        <w:rPr>
          <w:rFonts w:eastAsiaTheme="minorHAnsi"/>
          <w:color w:val="000000"/>
          <w:spacing w:val="-1"/>
          <w:sz w:val="16"/>
          <w:szCs w:val="16"/>
        </w:rPr>
        <w:t>Result</w:t>
      </w:r>
      <w:proofErr w:type="gramEnd"/>
      <w:r w:rsidRPr="00E7703F">
        <w:rPr>
          <w:rFonts w:eastAsiaTheme="minorHAnsi"/>
          <w:color w:val="000000"/>
          <w:spacing w:val="-1"/>
          <w:sz w:val="16"/>
          <w:szCs w:val="16"/>
        </w:rPr>
        <w:t xml:space="preserve"> 3 </w:t>
      </w:r>
      <w:r w:rsidRPr="00E7703F">
        <w:rPr>
          <w:rFonts w:eastAsiaTheme="minorHAnsi"/>
          <w:caps/>
          <w:color w:val="000000"/>
          <w:spacing w:val="-1"/>
          <w:sz w:val="16"/>
          <w:szCs w:val="16"/>
        </w:rPr>
        <w:t xml:space="preserve">eqc </w:t>
      </w:r>
      <w:r w:rsidRPr="00E7703F">
        <w:rPr>
          <w:rFonts w:eastAsiaTheme="minorHAnsi"/>
          <w:color w:val="000000"/>
          <w:spacing w:val="-1"/>
          <w:sz w:val="16"/>
          <w:szCs w:val="16"/>
        </w:rPr>
        <w:t xml:space="preserve">clotting time and signal strength are displayed. If the test was valid, it will display </w:t>
      </w:r>
      <w:r w:rsidRPr="00E7703F">
        <w:rPr>
          <w:rFonts w:eastAsiaTheme="minorHAnsi"/>
          <w:caps/>
          <w:color w:val="000000"/>
          <w:spacing w:val="-1"/>
          <w:sz w:val="16"/>
          <w:szCs w:val="16"/>
        </w:rPr>
        <w:t>eqc</w:t>
      </w:r>
      <w:r w:rsidRPr="00E7703F">
        <w:rPr>
          <w:rFonts w:eastAsiaTheme="minorHAnsi"/>
          <w:color w:val="000000"/>
          <w:spacing w:val="-1"/>
          <w:sz w:val="16"/>
          <w:szCs w:val="16"/>
        </w:rPr>
        <w:t xml:space="preserve"> </w:t>
      </w:r>
      <w:r w:rsidRPr="00E7703F">
        <w:rPr>
          <w:rFonts w:eastAsiaTheme="minorHAnsi"/>
          <w:caps/>
          <w:color w:val="000000"/>
          <w:spacing w:val="-1"/>
          <w:sz w:val="16"/>
          <w:szCs w:val="16"/>
        </w:rPr>
        <w:t xml:space="preserve">passed </w:t>
      </w:r>
      <w:r w:rsidRPr="00E7703F">
        <w:rPr>
          <w:rFonts w:eastAsiaTheme="minorHAnsi"/>
          <w:color w:val="000000"/>
          <w:spacing w:val="-1"/>
          <w:sz w:val="16"/>
          <w:szCs w:val="16"/>
        </w:rPr>
        <w:t xml:space="preserve">on the screen. Click the </w:t>
      </w:r>
      <w:r w:rsidRPr="00E7703F">
        <w:rPr>
          <w:rFonts w:eastAsiaTheme="minorHAnsi"/>
          <w:caps/>
          <w:color w:val="000000"/>
          <w:spacing w:val="-1"/>
          <w:sz w:val="16"/>
          <w:szCs w:val="16"/>
        </w:rPr>
        <w:t>accept results</w:t>
      </w:r>
      <w:r w:rsidRPr="00E7703F">
        <w:rPr>
          <w:rFonts w:eastAsiaTheme="minorHAnsi"/>
          <w:color w:val="000000"/>
          <w:spacing w:val="-1"/>
          <w:sz w:val="16"/>
          <w:szCs w:val="16"/>
        </w:rPr>
        <w:t xml:space="preserve"> button to accept the results.</w:t>
      </w:r>
    </w:p>
    <w:p w14:paraId="3CC2D5E6" w14:textId="2F54AFBE"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8.</w:t>
      </w:r>
      <w:r w:rsidRPr="00E7703F">
        <w:rPr>
          <w:rFonts w:eastAsiaTheme="minorHAnsi"/>
          <w:color w:val="000000"/>
          <w:spacing w:val="-1"/>
          <w:sz w:val="16"/>
          <w:szCs w:val="16"/>
        </w:rPr>
        <w:tab/>
        <w:t>The unit prompts the user to remove the EQC card and returns to the Main Menu.</w:t>
      </w:r>
    </w:p>
    <w:p w14:paraId="1994AF2D" w14:textId="7FE5D621"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9.</w:t>
      </w:r>
      <w:r w:rsidRPr="00E7703F">
        <w:rPr>
          <w:rFonts w:eastAsiaTheme="minorHAnsi"/>
          <w:color w:val="000000"/>
          <w:spacing w:val="-1"/>
          <w:sz w:val="16"/>
          <w:szCs w:val="16"/>
        </w:rPr>
        <w:tab/>
        <w:t>If any of the three tests fails, place the card into the EQC Renew Sleeve or Docking Station and then repeat the EQC test. If the test results continue to fall out of range, contact a supervisor qualified to resolve the problem, or contact your analyzer distributor.</w:t>
      </w:r>
    </w:p>
    <w:p w14:paraId="781103EC"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10.</w:t>
      </w:r>
      <w:r w:rsidRPr="00E7703F">
        <w:rPr>
          <w:rFonts w:eastAsiaTheme="minorHAnsi"/>
          <w:color w:val="000000"/>
          <w:spacing w:val="-1"/>
          <w:sz w:val="16"/>
          <w:szCs w:val="16"/>
        </w:rPr>
        <w:tab/>
        <w:t>Return the EQC to the sleeve for storage after each test cycle.</w:t>
      </w:r>
    </w:p>
    <w:p w14:paraId="3FD065E0" w14:textId="77777777" w:rsidR="00E7703F" w:rsidRPr="00E7703F" w:rsidRDefault="00E7703F" w:rsidP="00E7703F">
      <w:pPr>
        <w:widowControl/>
        <w:adjustRightInd w:val="0"/>
        <w:spacing w:before="20" w:line="288" w:lineRule="auto"/>
        <w:textAlignment w:val="center"/>
        <w:rPr>
          <w:rFonts w:eastAsiaTheme="minorHAnsi"/>
          <w:b/>
          <w:bCs/>
          <w:color w:val="000000"/>
          <w:spacing w:val="-1"/>
          <w:sz w:val="16"/>
          <w:szCs w:val="16"/>
        </w:rPr>
      </w:pPr>
      <w:r w:rsidRPr="00E7703F">
        <w:rPr>
          <w:rFonts w:eastAsiaTheme="minorHAnsi"/>
          <w:b/>
          <w:bCs/>
          <w:color w:val="000000"/>
          <w:spacing w:val="-1"/>
          <w:sz w:val="16"/>
          <w:szCs w:val="16"/>
        </w:rPr>
        <w:t>Procedural Notes</w:t>
      </w:r>
    </w:p>
    <w:p w14:paraId="38E12701" w14:textId="5EF5345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The analyzer is preset to provide a constant temperature of 37 ± 0.3°C (98.6 ± 0.5°F) and will automatically prewarm the test card. All other calibrations necessary are encoded on each test card. Refer to the operator’s manual for details.</w:t>
      </w:r>
    </w:p>
    <w:p w14:paraId="30A22908" w14:textId="02F72939"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To maintain a fully charged battery, leave the unit plugged into its power supply which is, in turn, plugged into an AC outlet.</w:t>
      </w:r>
      <w:r w:rsidRPr="00E7703F">
        <w:rPr>
          <w:rFonts w:eastAsiaTheme="minorHAnsi"/>
          <w:color w:val="000000"/>
          <w:spacing w:val="-1"/>
          <w:w w:val="90"/>
          <w:sz w:val="16"/>
          <w:szCs w:val="16"/>
        </w:rPr>
        <w:t xml:space="preserve"> </w:t>
      </w:r>
    </w:p>
    <w:p w14:paraId="580CDF50" w14:textId="5E65D05B"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The Operator Identification and the Quality Control Lockout are optional features. Refer to the operator’s manual if either of these features has been enabled.</w:t>
      </w:r>
    </w:p>
    <w:p w14:paraId="00DFDDE0" w14:textId="1BC136F3"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w:t>
      </w:r>
      <w:r w:rsidRPr="00E7703F">
        <w:rPr>
          <w:rFonts w:eastAsiaTheme="minorHAnsi"/>
          <w:color w:val="000000"/>
          <w:spacing w:val="-1"/>
          <w:sz w:val="16"/>
          <w:szCs w:val="16"/>
        </w:rPr>
        <w:tab/>
        <w:t>Operate the analyzer only at room temperatures between 15 to 32°C (59 to 90°F).</w:t>
      </w:r>
    </w:p>
    <w:p w14:paraId="274F9DBD"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Viewing EQC Result Records</w:t>
      </w:r>
    </w:p>
    <w:p w14:paraId="34631A74" w14:textId="35A1D04F"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lastRenderedPageBreak/>
        <w:t>1.</w:t>
      </w:r>
      <w:r w:rsidRPr="00E7703F">
        <w:rPr>
          <w:rFonts w:eastAsiaTheme="minorHAnsi"/>
          <w:color w:val="000000"/>
          <w:spacing w:val="-1"/>
          <w:sz w:val="16"/>
          <w:szCs w:val="16"/>
        </w:rPr>
        <w:tab/>
        <w:t xml:space="preserve">From the </w:t>
      </w:r>
      <w:r w:rsidRPr="00E7703F">
        <w:rPr>
          <w:rFonts w:eastAsiaTheme="minorHAnsi"/>
          <w:caps/>
          <w:color w:val="000000"/>
          <w:spacing w:val="-1"/>
          <w:sz w:val="16"/>
          <w:szCs w:val="16"/>
        </w:rPr>
        <w:t xml:space="preserve">main Menu </w:t>
      </w:r>
      <w:r w:rsidRPr="00E7703F">
        <w:rPr>
          <w:rFonts w:eastAsiaTheme="minorHAnsi"/>
          <w:color w:val="000000"/>
          <w:spacing w:val="-1"/>
          <w:sz w:val="16"/>
          <w:szCs w:val="16"/>
        </w:rPr>
        <w:t xml:space="preserve">screen, press </w:t>
      </w:r>
      <w:r w:rsidRPr="00E7703F">
        <w:rPr>
          <w:rFonts w:eastAsiaTheme="minorHAnsi"/>
          <w:caps/>
          <w:color w:val="000000"/>
          <w:spacing w:val="-1"/>
          <w:sz w:val="16"/>
          <w:szCs w:val="16"/>
        </w:rPr>
        <w:t>data Review</w:t>
      </w:r>
      <w:r w:rsidRPr="00E7703F">
        <w:rPr>
          <w:rFonts w:eastAsiaTheme="minorHAnsi"/>
          <w:color w:val="000000"/>
          <w:spacing w:val="-1"/>
          <w:sz w:val="16"/>
          <w:szCs w:val="16"/>
        </w:rPr>
        <w:t>.</w:t>
      </w:r>
    </w:p>
    <w:p w14:paraId="58FA9B5C" w14:textId="74B0971B"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2.</w:t>
      </w:r>
      <w:r w:rsidRPr="00E7703F">
        <w:rPr>
          <w:rFonts w:eastAsiaTheme="minorHAnsi"/>
          <w:color w:val="000000"/>
          <w:spacing w:val="-1"/>
          <w:sz w:val="16"/>
          <w:szCs w:val="16"/>
        </w:rPr>
        <w:tab/>
        <w:t xml:space="preserve">From the </w:t>
      </w:r>
      <w:r w:rsidRPr="00E7703F">
        <w:rPr>
          <w:rFonts w:eastAsiaTheme="minorHAnsi"/>
          <w:caps/>
          <w:color w:val="000000"/>
          <w:spacing w:val="-1"/>
          <w:sz w:val="16"/>
          <w:szCs w:val="16"/>
        </w:rPr>
        <w:t>Data review</w:t>
      </w:r>
      <w:r w:rsidRPr="00E7703F">
        <w:rPr>
          <w:rFonts w:eastAsiaTheme="minorHAnsi"/>
          <w:color w:val="000000"/>
          <w:spacing w:val="-1"/>
          <w:sz w:val="16"/>
          <w:szCs w:val="16"/>
        </w:rPr>
        <w:t xml:space="preserve"> screen, press </w:t>
      </w:r>
      <w:r w:rsidRPr="00E7703F">
        <w:rPr>
          <w:rFonts w:eastAsiaTheme="minorHAnsi"/>
          <w:caps/>
          <w:color w:val="000000"/>
          <w:spacing w:val="-1"/>
          <w:sz w:val="16"/>
          <w:szCs w:val="16"/>
        </w:rPr>
        <w:t>eqc data</w:t>
      </w:r>
      <w:r w:rsidRPr="00E7703F">
        <w:rPr>
          <w:rFonts w:eastAsiaTheme="minorHAnsi"/>
          <w:color w:val="000000"/>
          <w:spacing w:val="-1"/>
          <w:sz w:val="16"/>
          <w:szCs w:val="16"/>
        </w:rPr>
        <w:t>.</w:t>
      </w:r>
    </w:p>
    <w:p w14:paraId="2126F7FF" w14:textId="36F51EEF"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3.</w:t>
      </w:r>
      <w:r w:rsidRPr="00E7703F">
        <w:rPr>
          <w:rFonts w:eastAsiaTheme="minorHAnsi"/>
          <w:color w:val="000000"/>
          <w:spacing w:val="-1"/>
          <w:sz w:val="16"/>
          <w:szCs w:val="16"/>
        </w:rPr>
        <w:tab/>
        <w:t xml:space="preserve">The </w:t>
      </w:r>
      <w:r w:rsidRPr="00E7703F">
        <w:rPr>
          <w:rFonts w:eastAsiaTheme="minorHAnsi"/>
          <w:caps/>
          <w:color w:val="000000"/>
          <w:spacing w:val="-1"/>
          <w:sz w:val="16"/>
          <w:szCs w:val="16"/>
        </w:rPr>
        <w:t>eqc history</w:t>
      </w:r>
      <w:r w:rsidRPr="00E7703F">
        <w:rPr>
          <w:rFonts w:eastAsiaTheme="minorHAnsi"/>
          <w:color w:val="000000"/>
          <w:spacing w:val="-1"/>
          <w:sz w:val="16"/>
          <w:szCs w:val="16"/>
        </w:rPr>
        <w:t xml:space="preserve"> screen appears listing all results starting with the most recent test. If this is the </w:t>
      </w:r>
      <w:proofErr w:type="gramStart"/>
      <w:r w:rsidRPr="00E7703F">
        <w:rPr>
          <w:rFonts w:eastAsiaTheme="minorHAnsi"/>
          <w:color w:val="000000"/>
          <w:spacing w:val="-1"/>
          <w:sz w:val="16"/>
          <w:szCs w:val="16"/>
        </w:rPr>
        <w:t>first time</w:t>
      </w:r>
      <w:proofErr w:type="gramEnd"/>
      <w:r w:rsidRPr="00E7703F">
        <w:rPr>
          <w:rFonts w:eastAsiaTheme="minorHAnsi"/>
          <w:color w:val="000000"/>
          <w:spacing w:val="-1"/>
          <w:sz w:val="16"/>
          <w:szCs w:val="16"/>
        </w:rPr>
        <w:t xml:space="preserve"> use, the screen will be empty. If not, the data will be listed by the date and time of the test.</w:t>
      </w:r>
    </w:p>
    <w:p w14:paraId="6F04AC14" w14:textId="03FA5E02"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2"/>
          <w:sz w:val="16"/>
          <w:szCs w:val="16"/>
        </w:rPr>
      </w:pPr>
      <w:r w:rsidRPr="00E7703F">
        <w:rPr>
          <w:rFonts w:eastAsiaTheme="minorHAnsi"/>
          <w:color w:val="000000"/>
          <w:spacing w:val="-2"/>
          <w:sz w:val="16"/>
          <w:szCs w:val="16"/>
        </w:rPr>
        <w:t>4.</w:t>
      </w:r>
      <w:r w:rsidRPr="00E7703F">
        <w:rPr>
          <w:rFonts w:eastAsiaTheme="minorHAnsi"/>
          <w:color w:val="000000"/>
          <w:spacing w:val="-2"/>
          <w:sz w:val="16"/>
          <w:szCs w:val="16"/>
        </w:rPr>
        <w:tab/>
        <w:t>Each time the EQC card is run, 3 levels of values are generated along with the date/time stamp.</w:t>
      </w:r>
    </w:p>
    <w:p w14:paraId="214A6F2F" w14:textId="63490965"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5.</w:t>
      </w:r>
      <w:r w:rsidRPr="00E7703F">
        <w:rPr>
          <w:rFonts w:eastAsiaTheme="minorHAnsi"/>
          <w:color w:val="000000"/>
          <w:spacing w:val="-1"/>
          <w:sz w:val="16"/>
          <w:szCs w:val="16"/>
        </w:rPr>
        <w:tab/>
        <w:t>Using the up and down arrows, find the desired QC test and select it. The EQC level number, lot number and date and time are shown full screen.</w:t>
      </w:r>
    </w:p>
    <w:p w14:paraId="3F98118D" w14:textId="17925163"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6.</w:t>
      </w:r>
      <w:r w:rsidRPr="00E7703F">
        <w:rPr>
          <w:rFonts w:eastAsiaTheme="minorHAnsi"/>
          <w:color w:val="000000"/>
          <w:spacing w:val="-1"/>
          <w:sz w:val="16"/>
          <w:szCs w:val="16"/>
        </w:rPr>
        <w:tab/>
        <w:t>Pressing either the back arrow or the additional data button returns the unit to the EQC history screen.</w:t>
      </w:r>
    </w:p>
    <w:p w14:paraId="47E61FE5"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Quality Control</w:t>
      </w:r>
    </w:p>
    <w:p w14:paraId="62626D94"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b/>
          <w:bCs/>
          <w:color w:val="000000"/>
          <w:spacing w:val="-1"/>
          <w:sz w:val="16"/>
          <w:szCs w:val="16"/>
        </w:rPr>
        <w:t>Calibration:</w:t>
      </w:r>
      <w:r w:rsidRPr="00E7703F">
        <w:rPr>
          <w:rFonts w:eastAsiaTheme="minorHAnsi"/>
          <w:color w:val="000000"/>
          <w:spacing w:val="-1"/>
          <w:sz w:val="16"/>
          <w:szCs w:val="16"/>
        </w:rPr>
        <w:t xml:space="preserve"> Operator calibration is not required. Calibration of both the analyzer and EQC card was performed at the time of manufacture.</w:t>
      </w:r>
    </w:p>
    <w:p w14:paraId="7512BB5A"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b/>
          <w:bCs/>
          <w:color w:val="000000"/>
          <w:spacing w:val="-1"/>
          <w:sz w:val="16"/>
          <w:szCs w:val="16"/>
        </w:rPr>
        <w:t>Routine Quality Control:</w:t>
      </w:r>
      <w:r w:rsidRPr="00E7703F">
        <w:rPr>
          <w:rFonts w:eastAsiaTheme="minorHAnsi"/>
          <w:color w:val="000000"/>
          <w:spacing w:val="-1"/>
          <w:sz w:val="16"/>
          <w:szCs w:val="16"/>
        </w:rPr>
        <w:t xml:space="preserve"> Each day of use, verify that the date and time displayed on the analyzer are correct. Reset if necessary. Refer to the operator's manual for detailed instructions.</w:t>
      </w:r>
    </w:p>
    <w:p w14:paraId="6AAA5DCF"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microprocessor in the analyzer automatically monitors the parameters necessary for accurate testing. If the analyzer detects an error during the performance of a test, it will display an error message. Refer to Section 10 of the operator's manual for details and an explanation of error messages.</w:t>
      </w:r>
    </w:p>
    <w:p w14:paraId="24DDC09E"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Performance characteristics</w:t>
      </w:r>
    </w:p>
    <w:p w14:paraId="6A332EE2"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2"/>
          <w:sz w:val="16"/>
          <w:szCs w:val="16"/>
        </w:rPr>
        <w:t>Four EQC cards were tested on 4 Abrazo units 1 time a day for 20 days following the CLSI Guideline EP05-A2.</w:t>
      </w:r>
      <w:r w:rsidRPr="00E7703F">
        <w:rPr>
          <w:rFonts w:eastAsiaTheme="minorHAnsi"/>
          <w:color w:val="000000"/>
          <w:spacing w:val="-2"/>
          <w:sz w:val="16"/>
          <w:szCs w:val="16"/>
          <w:vertAlign w:val="superscript"/>
        </w:rPr>
        <w:t>2</w:t>
      </w:r>
      <w:r w:rsidRPr="00E7703F">
        <w:rPr>
          <w:rFonts w:eastAsiaTheme="minorHAnsi"/>
          <w:color w:val="000000"/>
          <w:spacing w:val="-2"/>
          <w:sz w:val="16"/>
          <w:szCs w:val="16"/>
        </w:rPr>
        <w:t xml:space="preserve"> The range of clotting times values is shown in the table below. These ranges are given for illustrative purposes only.</w:t>
      </w:r>
    </w:p>
    <w:p w14:paraId="489A8ADD"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b/>
          <w:bCs/>
          <w:color w:val="000000"/>
          <w:spacing w:val="-1"/>
          <w:sz w:val="16"/>
          <w:szCs w:val="16"/>
        </w:rPr>
      </w:pPr>
      <w:r w:rsidRPr="00E7703F">
        <w:rPr>
          <w:rFonts w:eastAsiaTheme="minorHAnsi"/>
          <w:b/>
          <w:bCs/>
          <w:color w:val="000000"/>
          <w:spacing w:val="-1"/>
          <w:sz w:val="16"/>
          <w:szCs w:val="16"/>
        </w:rPr>
        <w:t>EQC Test</w:t>
      </w:r>
    </w:p>
    <w:p w14:paraId="6BCE164D" w14:textId="77777777" w:rsidR="00E7703F" w:rsidRPr="00E7703F" w:rsidRDefault="00E7703F" w:rsidP="00E7703F">
      <w:pPr>
        <w:widowControl/>
        <w:pBdr>
          <w:bottom w:val="single" w:sz="4" w:space="1" w:color="000000"/>
        </w:pBdr>
        <w:tabs>
          <w:tab w:val="left" w:pos="180"/>
          <w:tab w:val="left" w:pos="320"/>
          <w:tab w:val="center" w:pos="1580"/>
          <w:tab w:val="center" w:pos="2880"/>
          <w:tab w:val="center" w:pos="4140"/>
        </w:tabs>
        <w:adjustRightInd w:val="0"/>
        <w:spacing w:line="288" w:lineRule="auto"/>
        <w:jc w:val="both"/>
        <w:textAlignment w:val="center"/>
        <w:rPr>
          <w:rFonts w:eastAsiaTheme="minorHAnsi"/>
          <w:b/>
          <w:bCs/>
          <w:color w:val="000000"/>
          <w:spacing w:val="-1"/>
          <w:sz w:val="16"/>
          <w:szCs w:val="16"/>
        </w:rPr>
      </w:pPr>
      <w:r w:rsidRPr="00E7703F">
        <w:rPr>
          <w:rFonts w:eastAsiaTheme="minorHAnsi"/>
          <w:b/>
          <w:bCs/>
          <w:color w:val="000000"/>
          <w:spacing w:val="-1"/>
          <w:sz w:val="16"/>
          <w:szCs w:val="16"/>
        </w:rPr>
        <w:t>Level</w:t>
      </w:r>
      <w:r w:rsidRPr="00E7703F">
        <w:rPr>
          <w:rFonts w:eastAsiaTheme="minorHAnsi"/>
          <w:b/>
          <w:bCs/>
          <w:color w:val="000000"/>
          <w:spacing w:val="-1"/>
          <w:sz w:val="16"/>
          <w:szCs w:val="16"/>
        </w:rPr>
        <w:tab/>
      </w:r>
      <w:r w:rsidRPr="00E7703F">
        <w:rPr>
          <w:rFonts w:eastAsiaTheme="minorHAnsi"/>
          <w:b/>
          <w:bCs/>
          <w:color w:val="000000"/>
          <w:spacing w:val="-1"/>
          <w:sz w:val="16"/>
          <w:szCs w:val="16"/>
        </w:rPr>
        <w:tab/>
        <w:t>1</w:t>
      </w:r>
      <w:r w:rsidRPr="00E7703F">
        <w:rPr>
          <w:rFonts w:eastAsiaTheme="minorHAnsi"/>
          <w:b/>
          <w:bCs/>
          <w:color w:val="000000"/>
          <w:spacing w:val="-1"/>
          <w:sz w:val="16"/>
          <w:szCs w:val="16"/>
        </w:rPr>
        <w:tab/>
        <w:t>2</w:t>
      </w:r>
      <w:r w:rsidRPr="00E7703F">
        <w:rPr>
          <w:rFonts w:eastAsiaTheme="minorHAnsi"/>
          <w:b/>
          <w:bCs/>
          <w:color w:val="000000"/>
          <w:spacing w:val="-1"/>
          <w:sz w:val="16"/>
          <w:szCs w:val="16"/>
        </w:rPr>
        <w:tab/>
        <w:t>3</w:t>
      </w:r>
    </w:p>
    <w:p w14:paraId="5C3A75E4" w14:textId="77777777" w:rsidR="00E7703F" w:rsidRPr="00E7703F" w:rsidRDefault="00E7703F" w:rsidP="00E7703F">
      <w:pPr>
        <w:widowControl/>
        <w:tabs>
          <w:tab w:val="left" w:pos="180"/>
          <w:tab w:val="left" w:pos="320"/>
          <w:tab w:val="decimal" w:pos="1580"/>
          <w:tab w:val="decimal" w:pos="2880"/>
          <w:tab w:val="decimal" w:pos="414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 xml:space="preserve">Mean (sec) </w:t>
      </w:r>
      <w:r w:rsidRPr="00E7703F">
        <w:rPr>
          <w:rFonts w:eastAsiaTheme="minorHAnsi"/>
          <w:color w:val="000000"/>
          <w:spacing w:val="-1"/>
          <w:sz w:val="16"/>
          <w:szCs w:val="16"/>
        </w:rPr>
        <w:tab/>
        <w:t>30.3</w:t>
      </w:r>
      <w:r w:rsidRPr="00E7703F">
        <w:rPr>
          <w:rFonts w:eastAsiaTheme="minorHAnsi"/>
          <w:color w:val="000000"/>
          <w:spacing w:val="-1"/>
          <w:sz w:val="16"/>
          <w:szCs w:val="16"/>
        </w:rPr>
        <w:tab/>
        <w:t>90.4</w:t>
      </w:r>
      <w:r w:rsidRPr="00E7703F">
        <w:rPr>
          <w:rFonts w:eastAsiaTheme="minorHAnsi"/>
          <w:color w:val="000000"/>
          <w:spacing w:val="-1"/>
          <w:sz w:val="16"/>
          <w:szCs w:val="16"/>
        </w:rPr>
        <w:tab/>
        <w:t>270.4</w:t>
      </w:r>
    </w:p>
    <w:p w14:paraId="49C997A6" w14:textId="77777777" w:rsidR="00E7703F" w:rsidRPr="00E7703F" w:rsidRDefault="00E7703F" w:rsidP="00E7703F">
      <w:pPr>
        <w:widowControl/>
        <w:tabs>
          <w:tab w:val="left" w:pos="180"/>
          <w:tab w:val="left" w:pos="320"/>
          <w:tab w:val="decimal" w:pos="1580"/>
          <w:tab w:val="decimal" w:pos="2880"/>
          <w:tab w:val="decimal" w:pos="414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 xml:space="preserve">SD (sec) </w:t>
      </w:r>
      <w:r w:rsidRPr="00E7703F">
        <w:rPr>
          <w:rFonts w:eastAsiaTheme="minorHAnsi"/>
          <w:color w:val="000000"/>
          <w:spacing w:val="-1"/>
          <w:sz w:val="16"/>
          <w:szCs w:val="16"/>
        </w:rPr>
        <w:tab/>
        <w:t>0.3</w:t>
      </w:r>
      <w:r w:rsidRPr="00E7703F">
        <w:rPr>
          <w:rFonts w:eastAsiaTheme="minorHAnsi"/>
          <w:color w:val="000000"/>
          <w:spacing w:val="-1"/>
          <w:sz w:val="16"/>
          <w:szCs w:val="16"/>
        </w:rPr>
        <w:tab/>
        <w:t>0.3</w:t>
      </w:r>
      <w:r w:rsidRPr="00E7703F">
        <w:rPr>
          <w:rFonts w:eastAsiaTheme="minorHAnsi"/>
          <w:color w:val="000000"/>
          <w:spacing w:val="-1"/>
          <w:sz w:val="16"/>
          <w:szCs w:val="16"/>
        </w:rPr>
        <w:tab/>
        <w:t>0.3</w:t>
      </w:r>
    </w:p>
    <w:p w14:paraId="55CBA3C1" w14:textId="77777777" w:rsidR="00E7703F" w:rsidRPr="00E7703F" w:rsidRDefault="00E7703F" w:rsidP="00E7703F">
      <w:pPr>
        <w:widowControl/>
        <w:pBdr>
          <w:bottom w:val="single" w:sz="4" w:space="1" w:color="000000"/>
        </w:pBdr>
        <w:tabs>
          <w:tab w:val="left" w:pos="180"/>
          <w:tab w:val="left" w:pos="320"/>
          <w:tab w:val="decimal" w:pos="1580"/>
          <w:tab w:val="decimal" w:pos="2880"/>
          <w:tab w:val="decimal" w:pos="4140"/>
        </w:tabs>
        <w:adjustRightInd w:val="0"/>
        <w:spacing w:line="288" w:lineRule="auto"/>
        <w:jc w:val="both"/>
        <w:textAlignment w:val="center"/>
        <w:rPr>
          <w:rFonts w:eastAsiaTheme="minorHAnsi"/>
          <w:color w:val="000000"/>
          <w:spacing w:val="-1"/>
          <w:sz w:val="16"/>
          <w:szCs w:val="16"/>
        </w:rPr>
      </w:pPr>
      <w:proofErr w:type="gramStart"/>
      <w:r w:rsidRPr="00E7703F">
        <w:rPr>
          <w:rFonts w:eastAsiaTheme="minorHAnsi"/>
          <w:color w:val="000000"/>
          <w:spacing w:val="-1"/>
          <w:sz w:val="16"/>
          <w:szCs w:val="16"/>
        </w:rPr>
        <w:t>CV(</w:t>
      </w:r>
      <w:proofErr w:type="gramEnd"/>
      <w:r w:rsidRPr="00E7703F">
        <w:rPr>
          <w:rFonts w:eastAsiaTheme="minorHAnsi"/>
          <w:color w:val="000000"/>
          <w:spacing w:val="-1"/>
          <w:sz w:val="16"/>
          <w:szCs w:val="16"/>
        </w:rPr>
        <w:t xml:space="preserve">%) </w:t>
      </w:r>
      <w:r w:rsidRPr="00E7703F">
        <w:rPr>
          <w:rFonts w:eastAsiaTheme="minorHAnsi"/>
          <w:color w:val="000000"/>
          <w:spacing w:val="-1"/>
          <w:sz w:val="16"/>
          <w:szCs w:val="16"/>
        </w:rPr>
        <w:tab/>
      </w:r>
      <w:r w:rsidRPr="00E7703F">
        <w:rPr>
          <w:rFonts w:eastAsiaTheme="minorHAnsi"/>
          <w:color w:val="000000"/>
          <w:spacing w:val="-1"/>
          <w:sz w:val="16"/>
          <w:szCs w:val="16"/>
        </w:rPr>
        <w:tab/>
        <w:t>1.0</w:t>
      </w:r>
      <w:r w:rsidRPr="00E7703F">
        <w:rPr>
          <w:rFonts w:eastAsiaTheme="minorHAnsi"/>
          <w:color w:val="000000"/>
          <w:spacing w:val="-1"/>
          <w:sz w:val="16"/>
          <w:szCs w:val="16"/>
        </w:rPr>
        <w:tab/>
        <w:t>0.3</w:t>
      </w:r>
      <w:r w:rsidRPr="00E7703F">
        <w:rPr>
          <w:rFonts w:eastAsiaTheme="minorHAnsi"/>
          <w:color w:val="000000"/>
          <w:spacing w:val="-1"/>
          <w:sz w:val="16"/>
          <w:szCs w:val="16"/>
        </w:rPr>
        <w:tab/>
        <w:t>0.1</w:t>
      </w:r>
    </w:p>
    <w:p w14:paraId="005604E6"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Results</w:t>
      </w:r>
    </w:p>
    <w:p w14:paraId="7F06A09A" w14:textId="77777777"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clotting time results for periodic testing of the EQC test card should fall within the reference ranges shown below. The analyzer will automatically report an error message if either the clotting time or the signal strength values are out of range. Acceptable ranges are encoded on the card.</w:t>
      </w:r>
    </w:p>
    <w:p w14:paraId="3C4C24DD" w14:textId="77777777" w:rsidR="00E7703F" w:rsidRPr="00E7703F" w:rsidRDefault="00E7703F" w:rsidP="00E7703F">
      <w:pPr>
        <w:widowControl/>
        <w:tabs>
          <w:tab w:val="center" w:pos="260"/>
          <w:tab w:val="center" w:pos="1580"/>
          <w:tab w:val="center" w:pos="2880"/>
          <w:tab w:val="center" w:pos="4140"/>
        </w:tabs>
        <w:adjustRightInd w:val="0"/>
        <w:spacing w:line="288" w:lineRule="auto"/>
        <w:jc w:val="both"/>
        <w:textAlignment w:val="center"/>
        <w:rPr>
          <w:rFonts w:eastAsiaTheme="minorHAnsi"/>
          <w:b/>
          <w:bCs/>
          <w:color w:val="000000"/>
          <w:spacing w:val="-1"/>
          <w:w w:val="97"/>
          <w:sz w:val="16"/>
          <w:szCs w:val="16"/>
        </w:rPr>
      </w:pPr>
      <w:r w:rsidRPr="00E7703F">
        <w:rPr>
          <w:rFonts w:eastAsiaTheme="minorHAnsi"/>
          <w:b/>
          <w:bCs/>
          <w:color w:val="000000"/>
          <w:spacing w:val="-1"/>
          <w:w w:val="97"/>
          <w:sz w:val="16"/>
          <w:szCs w:val="16"/>
        </w:rPr>
        <w:tab/>
      </w:r>
      <w:r w:rsidRPr="00E7703F">
        <w:rPr>
          <w:rFonts w:eastAsiaTheme="minorHAnsi"/>
          <w:b/>
          <w:bCs/>
          <w:color w:val="000000"/>
          <w:spacing w:val="-1"/>
          <w:w w:val="97"/>
          <w:sz w:val="16"/>
          <w:szCs w:val="16"/>
        </w:rPr>
        <w:tab/>
      </w:r>
      <w:r w:rsidRPr="00E7703F">
        <w:rPr>
          <w:rFonts w:eastAsiaTheme="minorHAnsi"/>
          <w:b/>
          <w:bCs/>
          <w:color w:val="000000"/>
          <w:spacing w:val="-1"/>
          <w:w w:val="97"/>
          <w:sz w:val="16"/>
          <w:szCs w:val="16"/>
        </w:rPr>
        <w:tab/>
        <w:t xml:space="preserve"> </w:t>
      </w:r>
      <w:r w:rsidRPr="00E7703F">
        <w:rPr>
          <w:rFonts w:eastAsiaTheme="minorHAnsi"/>
          <w:b/>
          <w:bCs/>
          <w:color w:val="000000"/>
          <w:spacing w:val="-1"/>
          <w:w w:val="97"/>
          <w:sz w:val="16"/>
          <w:szCs w:val="16"/>
        </w:rPr>
        <w:tab/>
        <w:t>Acceptable clotting</w:t>
      </w:r>
    </w:p>
    <w:p w14:paraId="502F1052" w14:textId="77777777" w:rsidR="00E7703F" w:rsidRPr="00E7703F" w:rsidRDefault="00E7703F" w:rsidP="00E7703F">
      <w:pPr>
        <w:widowControl/>
        <w:pBdr>
          <w:bottom w:val="single" w:sz="4" w:space="1" w:color="000000"/>
        </w:pBdr>
        <w:tabs>
          <w:tab w:val="center" w:pos="260"/>
          <w:tab w:val="center" w:pos="1580"/>
          <w:tab w:val="center" w:pos="2880"/>
          <w:tab w:val="center" w:pos="4140"/>
        </w:tabs>
        <w:adjustRightInd w:val="0"/>
        <w:spacing w:line="288" w:lineRule="auto"/>
        <w:jc w:val="both"/>
        <w:textAlignment w:val="center"/>
        <w:rPr>
          <w:rFonts w:eastAsiaTheme="minorHAnsi"/>
          <w:b/>
          <w:bCs/>
          <w:color w:val="000000"/>
          <w:spacing w:val="-1"/>
          <w:w w:val="97"/>
          <w:sz w:val="16"/>
          <w:szCs w:val="16"/>
        </w:rPr>
      </w:pPr>
      <w:r w:rsidRPr="00E7703F">
        <w:rPr>
          <w:rFonts w:eastAsiaTheme="minorHAnsi"/>
          <w:b/>
          <w:bCs/>
          <w:color w:val="000000"/>
          <w:spacing w:val="-1"/>
          <w:w w:val="97"/>
          <w:sz w:val="16"/>
          <w:szCs w:val="16"/>
        </w:rPr>
        <w:t>EQC Test</w:t>
      </w:r>
      <w:r w:rsidRPr="00E7703F">
        <w:rPr>
          <w:rFonts w:eastAsiaTheme="minorHAnsi"/>
          <w:b/>
          <w:bCs/>
          <w:color w:val="000000"/>
          <w:spacing w:val="-1"/>
          <w:w w:val="97"/>
          <w:sz w:val="16"/>
          <w:szCs w:val="16"/>
        </w:rPr>
        <w:tab/>
        <w:t>Maximum error (sec)</w:t>
      </w:r>
      <w:r w:rsidRPr="00E7703F">
        <w:rPr>
          <w:rFonts w:eastAsiaTheme="minorHAnsi"/>
          <w:b/>
          <w:bCs/>
          <w:color w:val="000000"/>
          <w:spacing w:val="-1"/>
          <w:w w:val="97"/>
          <w:sz w:val="16"/>
          <w:szCs w:val="16"/>
        </w:rPr>
        <w:tab/>
        <w:t>% Error</w:t>
      </w:r>
      <w:r w:rsidRPr="00E7703F">
        <w:rPr>
          <w:rFonts w:eastAsiaTheme="minorHAnsi"/>
          <w:b/>
          <w:bCs/>
          <w:color w:val="000000"/>
          <w:spacing w:val="-1"/>
          <w:w w:val="97"/>
          <w:sz w:val="16"/>
          <w:szCs w:val="16"/>
        </w:rPr>
        <w:tab/>
        <w:t>time range (sec)</w:t>
      </w:r>
    </w:p>
    <w:p w14:paraId="3891F20E" w14:textId="77777777" w:rsidR="00E7703F" w:rsidRPr="00E7703F" w:rsidRDefault="00E7703F" w:rsidP="00E7703F">
      <w:pPr>
        <w:widowControl/>
        <w:tabs>
          <w:tab w:val="center" w:pos="260"/>
          <w:tab w:val="center" w:pos="1580"/>
          <w:tab w:val="center" w:pos="2880"/>
          <w:tab w:val="decimal" w:pos="4000"/>
          <w:tab w:val="decimal" w:pos="436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ab/>
        <w:t xml:space="preserve">1 </w:t>
      </w:r>
      <w:r w:rsidRPr="00E7703F">
        <w:rPr>
          <w:rFonts w:eastAsiaTheme="minorHAnsi"/>
          <w:color w:val="000000"/>
          <w:spacing w:val="-1"/>
          <w:sz w:val="16"/>
          <w:szCs w:val="16"/>
        </w:rPr>
        <w:tab/>
        <w:t xml:space="preserve">0.9 </w:t>
      </w:r>
      <w:r w:rsidRPr="00E7703F">
        <w:rPr>
          <w:rFonts w:eastAsiaTheme="minorHAnsi"/>
          <w:color w:val="000000"/>
          <w:spacing w:val="-1"/>
          <w:sz w:val="16"/>
          <w:szCs w:val="16"/>
        </w:rPr>
        <w:tab/>
        <w:t xml:space="preserve">3.0 </w:t>
      </w:r>
      <w:r w:rsidRPr="00E7703F">
        <w:rPr>
          <w:rFonts w:eastAsiaTheme="minorHAnsi"/>
          <w:color w:val="000000"/>
          <w:spacing w:val="-1"/>
          <w:sz w:val="16"/>
          <w:szCs w:val="16"/>
        </w:rPr>
        <w:tab/>
        <w:t>29.</w:t>
      </w:r>
      <w:proofErr w:type="gramStart"/>
      <w:r w:rsidRPr="00E7703F">
        <w:rPr>
          <w:rFonts w:eastAsiaTheme="minorHAnsi"/>
          <w:color w:val="000000"/>
          <w:spacing w:val="-1"/>
          <w:sz w:val="16"/>
          <w:szCs w:val="16"/>
        </w:rPr>
        <w:t>1  -</w:t>
      </w:r>
      <w:proofErr w:type="gramEnd"/>
      <w:r w:rsidRPr="00E7703F">
        <w:rPr>
          <w:rFonts w:eastAsiaTheme="minorHAnsi"/>
          <w:color w:val="000000"/>
          <w:spacing w:val="-1"/>
          <w:sz w:val="16"/>
          <w:szCs w:val="16"/>
        </w:rPr>
        <w:t xml:space="preserve"> 30.9</w:t>
      </w:r>
    </w:p>
    <w:p w14:paraId="51FFDBE0" w14:textId="77777777" w:rsidR="00E7703F" w:rsidRPr="00E7703F" w:rsidRDefault="00E7703F" w:rsidP="00E7703F">
      <w:pPr>
        <w:widowControl/>
        <w:tabs>
          <w:tab w:val="center" w:pos="260"/>
          <w:tab w:val="center" w:pos="1580"/>
          <w:tab w:val="center" w:pos="2880"/>
          <w:tab w:val="decimal" w:pos="4000"/>
          <w:tab w:val="decimal" w:pos="436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ab/>
        <w:t xml:space="preserve">2 </w:t>
      </w:r>
      <w:r w:rsidRPr="00E7703F">
        <w:rPr>
          <w:rFonts w:eastAsiaTheme="minorHAnsi"/>
          <w:color w:val="000000"/>
          <w:spacing w:val="-1"/>
          <w:sz w:val="16"/>
          <w:szCs w:val="16"/>
        </w:rPr>
        <w:tab/>
        <w:t xml:space="preserve">2.7 </w:t>
      </w:r>
      <w:r w:rsidRPr="00E7703F">
        <w:rPr>
          <w:rFonts w:eastAsiaTheme="minorHAnsi"/>
          <w:color w:val="000000"/>
          <w:spacing w:val="-1"/>
          <w:sz w:val="16"/>
          <w:szCs w:val="16"/>
        </w:rPr>
        <w:tab/>
        <w:t xml:space="preserve">3.0 </w:t>
      </w:r>
      <w:r w:rsidRPr="00E7703F">
        <w:rPr>
          <w:rFonts w:eastAsiaTheme="minorHAnsi"/>
          <w:color w:val="000000"/>
          <w:spacing w:val="-1"/>
          <w:sz w:val="16"/>
          <w:szCs w:val="16"/>
        </w:rPr>
        <w:tab/>
        <w:t>87.</w:t>
      </w:r>
      <w:proofErr w:type="gramStart"/>
      <w:r w:rsidRPr="00E7703F">
        <w:rPr>
          <w:rFonts w:eastAsiaTheme="minorHAnsi"/>
          <w:color w:val="000000"/>
          <w:spacing w:val="-1"/>
          <w:sz w:val="16"/>
          <w:szCs w:val="16"/>
        </w:rPr>
        <w:t>3  -</w:t>
      </w:r>
      <w:proofErr w:type="gramEnd"/>
      <w:r w:rsidRPr="00E7703F">
        <w:rPr>
          <w:rFonts w:eastAsiaTheme="minorHAnsi"/>
          <w:color w:val="000000"/>
          <w:spacing w:val="-1"/>
          <w:sz w:val="16"/>
          <w:szCs w:val="16"/>
        </w:rPr>
        <w:t xml:space="preserve"> 92.7</w:t>
      </w:r>
    </w:p>
    <w:p w14:paraId="5FA30394" w14:textId="77777777" w:rsidR="00E7703F" w:rsidRPr="00E7703F" w:rsidRDefault="00E7703F" w:rsidP="00E7703F">
      <w:pPr>
        <w:widowControl/>
        <w:pBdr>
          <w:bottom w:val="single" w:sz="4" w:space="1" w:color="000000"/>
        </w:pBdr>
        <w:tabs>
          <w:tab w:val="center" w:pos="260"/>
          <w:tab w:val="center" w:pos="1580"/>
          <w:tab w:val="center" w:pos="2880"/>
          <w:tab w:val="decimal" w:pos="4000"/>
          <w:tab w:val="decimal" w:pos="436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ab/>
        <w:t xml:space="preserve">3 </w:t>
      </w:r>
      <w:r w:rsidRPr="00E7703F">
        <w:rPr>
          <w:rFonts w:eastAsiaTheme="minorHAnsi"/>
          <w:color w:val="000000"/>
          <w:spacing w:val="-1"/>
          <w:sz w:val="16"/>
          <w:szCs w:val="16"/>
        </w:rPr>
        <w:tab/>
        <w:t xml:space="preserve">8.1 </w:t>
      </w:r>
      <w:r w:rsidRPr="00E7703F">
        <w:rPr>
          <w:rFonts w:eastAsiaTheme="minorHAnsi"/>
          <w:color w:val="000000"/>
          <w:spacing w:val="-1"/>
          <w:sz w:val="16"/>
          <w:szCs w:val="16"/>
        </w:rPr>
        <w:tab/>
        <w:t xml:space="preserve">3.0 </w:t>
      </w:r>
      <w:r w:rsidRPr="00E7703F">
        <w:rPr>
          <w:rFonts w:eastAsiaTheme="minorHAnsi"/>
          <w:color w:val="000000"/>
          <w:spacing w:val="-1"/>
          <w:sz w:val="16"/>
          <w:szCs w:val="16"/>
        </w:rPr>
        <w:tab/>
        <w:t>261.</w:t>
      </w:r>
      <w:proofErr w:type="gramStart"/>
      <w:r w:rsidRPr="00E7703F">
        <w:rPr>
          <w:rFonts w:eastAsiaTheme="minorHAnsi"/>
          <w:color w:val="000000"/>
          <w:spacing w:val="-1"/>
          <w:sz w:val="16"/>
          <w:szCs w:val="16"/>
        </w:rPr>
        <w:t>9  -</w:t>
      </w:r>
      <w:proofErr w:type="gramEnd"/>
      <w:r w:rsidRPr="00E7703F">
        <w:rPr>
          <w:rFonts w:eastAsiaTheme="minorHAnsi"/>
          <w:color w:val="000000"/>
          <w:spacing w:val="-1"/>
          <w:sz w:val="16"/>
          <w:szCs w:val="16"/>
        </w:rPr>
        <w:tab/>
        <w:t>278.1</w:t>
      </w:r>
    </w:p>
    <w:p w14:paraId="0BCD317D" w14:textId="77777777" w:rsidR="00E7703F" w:rsidRPr="00E7703F" w:rsidRDefault="00E7703F" w:rsidP="00E7703F">
      <w:pPr>
        <w:widowControl/>
        <w:tabs>
          <w:tab w:val="left" w:pos="160"/>
          <w:tab w:val="left" w:pos="320"/>
        </w:tabs>
        <w:adjustRightInd w:val="0"/>
        <w:spacing w:before="60"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EQC card checks three clotting time levels, 30, 90, and 270 seconds and reports clotting time. An internal signal is generated by the EQC test card during testing. An EQC signal greater than or equal to the Target Signal Value encoded in the EQC test barcode indicates the Cascade Abrazo is operating properly. At the completion of the EQC test, a Pass or Fail condition is reported and the clotting time for the last completed level is displayed.</w:t>
      </w:r>
    </w:p>
    <w:p w14:paraId="59F05164" w14:textId="77777777" w:rsidR="00E7703F" w:rsidRPr="00E7703F" w:rsidRDefault="00E7703F" w:rsidP="00E7703F">
      <w:pPr>
        <w:widowControl/>
        <w:adjustRightInd w:val="0"/>
        <w:spacing w:before="20" w:line="180" w:lineRule="atLeast"/>
        <w:textAlignment w:val="center"/>
        <w:rPr>
          <w:rFonts w:eastAsiaTheme="minorHAnsi"/>
          <w:b/>
          <w:bCs/>
          <w:caps/>
          <w:color w:val="000000"/>
          <w:sz w:val="16"/>
          <w:szCs w:val="16"/>
        </w:rPr>
      </w:pPr>
      <w:r w:rsidRPr="00E7703F">
        <w:rPr>
          <w:rFonts w:eastAsiaTheme="minorHAnsi"/>
          <w:b/>
          <w:bCs/>
          <w:caps/>
          <w:color w:val="000000"/>
          <w:sz w:val="16"/>
          <w:szCs w:val="16"/>
        </w:rPr>
        <w:t>Bibliography</w:t>
      </w:r>
    </w:p>
    <w:p w14:paraId="736F4004" w14:textId="3F6818F5"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1.</w:t>
      </w:r>
      <w:r w:rsidRPr="00E7703F">
        <w:rPr>
          <w:rFonts w:eastAsiaTheme="minorHAnsi"/>
          <w:color w:val="000000"/>
          <w:spacing w:val="-1"/>
          <w:sz w:val="16"/>
          <w:szCs w:val="16"/>
        </w:rPr>
        <w:tab/>
        <w:t>Clinical And Laboratory Standards Institute. Point-Of-Care In Vitro Diagnostic (</w:t>
      </w:r>
      <w:r w:rsidRPr="00E7703F">
        <w:rPr>
          <w:rFonts w:eastAsiaTheme="minorHAnsi"/>
          <w:caps/>
          <w:color w:val="000000"/>
          <w:spacing w:val="-1"/>
          <w:sz w:val="16"/>
          <w:szCs w:val="16"/>
        </w:rPr>
        <w:t>Ivd</w:t>
      </w:r>
      <w:r w:rsidRPr="00E7703F">
        <w:rPr>
          <w:rFonts w:eastAsiaTheme="minorHAnsi"/>
          <w:color w:val="000000"/>
          <w:spacing w:val="-1"/>
          <w:sz w:val="16"/>
          <w:szCs w:val="16"/>
        </w:rPr>
        <w:t xml:space="preserve">) Testing; Approved Guideline. </w:t>
      </w:r>
      <w:r w:rsidRPr="00E7703F">
        <w:rPr>
          <w:rFonts w:eastAsiaTheme="minorHAnsi"/>
          <w:caps/>
          <w:color w:val="000000"/>
          <w:spacing w:val="-1"/>
          <w:sz w:val="16"/>
          <w:szCs w:val="16"/>
        </w:rPr>
        <w:t>clsi</w:t>
      </w:r>
      <w:r w:rsidRPr="00E7703F">
        <w:rPr>
          <w:rFonts w:eastAsiaTheme="minorHAnsi"/>
          <w:color w:val="000000"/>
          <w:spacing w:val="-1"/>
          <w:sz w:val="16"/>
          <w:szCs w:val="16"/>
        </w:rPr>
        <w:t xml:space="preserve"> Document POCT4-A2, Vol. 26, No. 30, 2006.</w:t>
      </w:r>
    </w:p>
    <w:p w14:paraId="0DF7DFBA" w14:textId="65B72DE2" w:rsidR="00E7703F" w:rsidRPr="00E7703F" w:rsidRDefault="00E7703F" w:rsidP="00E7703F">
      <w:pPr>
        <w:widowControl/>
        <w:tabs>
          <w:tab w:val="left" w:pos="160"/>
          <w:tab w:val="left" w:pos="320"/>
        </w:tabs>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2.</w:t>
      </w:r>
      <w:r w:rsidRPr="00E7703F">
        <w:rPr>
          <w:rFonts w:eastAsiaTheme="minorHAnsi"/>
          <w:color w:val="000000"/>
          <w:spacing w:val="-1"/>
          <w:sz w:val="16"/>
          <w:szCs w:val="16"/>
        </w:rPr>
        <w:tab/>
        <w:t>Clinical and Laboratory and Standards Institute: Evaluation of Precision Performance of Quantitative Measurement Methods: Approved Guideline. CLSI Document EP05-A2, 2004.</w:t>
      </w:r>
    </w:p>
    <w:p w14:paraId="794EA939" w14:textId="77777777" w:rsidR="00E7703F" w:rsidRPr="00E7703F" w:rsidRDefault="00E7703F" w:rsidP="00E7703F">
      <w:pPr>
        <w:widowControl/>
        <w:adjustRightInd w:val="0"/>
        <w:spacing w:before="100"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For Sales, Technical and Order Information and Service Assistance, call 800-231-5663 toll free.</w:t>
      </w:r>
    </w:p>
    <w:p w14:paraId="59BEFAEC" w14:textId="77777777" w:rsidR="00E7703F" w:rsidRPr="00E7703F" w:rsidRDefault="00E7703F" w:rsidP="00E7703F">
      <w:pPr>
        <w:widowControl/>
        <w:adjustRightInd w:val="0"/>
        <w:spacing w:before="90"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0EAD1C75" w14:textId="77777777" w:rsidR="00E7703F" w:rsidRPr="00E7703F" w:rsidRDefault="00E7703F" w:rsidP="00E7703F">
      <w:pPr>
        <w:widowControl/>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 xml:space="preserve">In no case will Helena Laboratories be liable for consequential damages even if Helena has been advised as to the possibility of such damages. </w:t>
      </w:r>
    </w:p>
    <w:p w14:paraId="22297D7C" w14:textId="77777777" w:rsidR="00E7703F" w:rsidRPr="00E7703F" w:rsidRDefault="00E7703F" w:rsidP="00E7703F">
      <w:pPr>
        <w:widowControl/>
        <w:adjustRightInd w:val="0"/>
        <w:spacing w:line="288" w:lineRule="auto"/>
        <w:jc w:val="both"/>
        <w:textAlignment w:val="center"/>
        <w:rPr>
          <w:rFonts w:eastAsiaTheme="minorHAnsi"/>
          <w:color w:val="000000"/>
          <w:spacing w:val="-1"/>
          <w:sz w:val="16"/>
          <w:szCs w:val="16"/>
        </w:rPr>
      </w:pPr>
      <w:r w:rsidRPr="00E7703F">
        <w:rPr>
          <w:rFonts w:eastAsiaTheme="minorHAnsi"/>
          <w:color w:val="000000"/>
          <w:spacing w:val="-1"/>
          <w:sz w:val="16"/>
          <w:szCs w:val="16"/>
        </w:rPr>
        <w:t>The foregoing warranties are in lieu of all warranties expressed or implied including, but not limited to, the implied warranties of merchantability and fitness for a particular purpose.</w:t>
      </w:r>
    </w:p>
    <w:p w14:paraId="2CBFD4BE" w14:textId="77777777" w:rsidR="00E7703F" w:rsidRPr="00E7703F" w:rsidRDefault="00E7703F" w:rsidP="00E7703F">
      <w:pPr>
        <w:widowControl/>
        <w:adjustRightInd w:val="0"/>
        <w:spacing w:line="288" w:lineRule="auto"/>
        <w:jc w:val="both"/>
        <w:textAlignment w:val="center"/>
        <w:rPr>
          <w:rFonts w:eastAsiaTheme="minorHAnsi"/>
          <w:color w:val="000000"/>
          <w:spacing w:val="-1"/>
          <w:sz w:val="12"/>
          <w:szCs w:val="12"/>
        </w:rPr>
      </w:pPr>
    </w:p>
    <w:p w14:paraId="56513691" w14:textId="77777777" w:rsidR="00E7703F" w:rsidRPr="00E7703F" w:rsidRDefault="00E7703F" w:rsidP="00E7703F">
      <w:pPr>
        <w:widowControl/>
        <w:tabs>
          <w:tab w:val="left" w:pos="720"/>
          <w:tab w:val="left" w:pos="3975"/>
          <w:tab w:val="left" w:pos="7530"/>
        </w:tabs>
        <w:adjustRightInd w:val="0"/>
        <w:spacing w:line="288" w:lineRule="auto"/>
        <w:textAlignment w:val="center"/>
        <w:rPr>
          <w:rFonts w:ascii="Arial MT Std" w:eastAsiaTheme="minorHAnsi" w:hAnsi="Arial MT Std" w:cs="Arial MT Std"/>
          <w:color w:val="000000"/>
          <w:spacing w:val="-1"/>
          <w:sz w:val="14"/>
          <w:szCs w:val="14"/>
          <w:u w:val="thick" w:color="000000"/>
        </w:rPr>
      </w:pPr>
      <w:r w:rsidRPr="00E7703F">
        <w:rPr>
          <w:rFonts w:ascii="Arial MT Std" w:eastAsiaTheme="minorHAnsi" w:hAnsi="Arial MT Std" w:cs="Arial MT Std"/>
          <w:color w:val="000000"/>
          <w:sz w:val="16"/>
          <w:szCs w:val="16"/>
        </w:rPr>
        <w:tab/>
      </w:r>
    </w:p>
    <w:p w14:paraId="04A745B3" w14:textId="77777777" w:rsidR="00E7703F" w:rsidRPr="00E7703F" w:rsidRDefault="00E7703F" w:rsidP="00E7703F">
      <w:pPr>
        <w:widowControl/>
        <w:tabs>
          <w:tab w:val="left" w:pos="600"/>
          <w:tab w:val="left" w:pos="720"/>
          <w:tab w:val="left" w:pos="3975"/>
          <w:tab w:val="left" w:pos="7530"/>
        </w:tabs>
        <w:adjustRightInd w:val="0"/>
        <w:spacing w:line="288" w:lineRule="auto"/>
        <w:textAlignment w:val="center"/>
        <w:rPr>
          <w:rFonts w:ascii="Arial MT Std" w:eastAsiaTheme="minorHAnsi" w:hAnsi="Arial MT Std" w:cs="Arial MT Std"/>
          <w:color w:val="000000"/>
          <w:sz w:val="14"/>
          <w:szCs w:val="14"/>
        </w:rPr>
      </w:pPr>
    </w:p>
    <w:p w14:paraId="2029A285" w14:textId="12DB13AC" w:rsidR="00E7703F" w:rsidRPr="00E7703F" w:rsidRDefault="00E7703F" w:rsidP="00E7703F">
      <w:pPr>
        <w:widowControl/>
        <w:tabs>
          <w:tab w:val="left" w:pos="720"/>
          <w:tab w:val="left" w:pos="3975"/>
          <w:tab w:val="left" w:pos="7530"/>
        </w:tabs>
        <w:adjustRightInd w:val="0"/>
        <w:spacing w:line="288" w:lineRule="auto"/>
        <w:jc w:val="both"/>
        <w:textAlignment w:val="center"/>
        <w:rPr>
          <w:rFonts w:eastAsiaTheme="minorHAnsi"/>
          <w:color w:val="000000"/>
          <w:spacing w:val="-1"/>
          <w:sz w:val="12"/>
          <w:szCs w:val="12"/>
        </w:rPr>
      </w:pPr>
      <w:r w:rsidRPr="00095C74">
        <w:rPr>
          <w:rFonts w:eastAsiaTheme="minorHAnsi"/>
          <w:noProof/>
          <w:color w:val="000000"/>
          <w:spacing w:val="-1"/>
          <w:sz w:val="12"/>
          <w:szCs w:val="12"/>
        </w:rPr>
        <w:drawing>
          <wp:anchor distT="0" distB="0" distL="114300" distR="114300" simplePos="0" relativeHeight="251658240" behindDoc="1" locked="0" layoutInCell="1" allowOverlap="1" wp14:anchorId="7D808D1D" wp14:editId="0498D7EC">
            <wp:simplePos x="0" y="0"/>
            <wp:positionH relativeFrom="column">
              <wp:posOffset>38100</wp:posOffset>
            </wp:positionH>
            <wp:positionV relativeFrom="paragraph">
              <wp:posOffset>25400</wp:posOffset>
            </wp:positionV>
            <wp:extent cx="266700" cy="266700"/>
            <wp:effectExtent l="0" t="0" r="0" b="0"/>
            <wp:wrapTight wrapText="bothSides">
              <wp:wrapPolygon edited="0">
                <wp:start x="14400" y="0"/>
                <wp:lineTo x="0" y="6171"/>
                <wp:lineTo x="0" y="20571"/>
                <wp:lineTo x="20571" y="20571"/>
                <wp:lineTo x="20571" y="0"/>
                <wp:lineTo x="1440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Pr="00E7703F">
        <w:rPr>
          <w:rFonts w:eastAsiaTheme="minorHAnsi"/>
          <w:color w:val="000000"/>
          <w:spacing w:val="-1"/>
          <w:sz w:val="12"/>
          <w:szCs w:val="12"/>
        </w:rPr>
        <w:t>Helena Laboratories</w:t>
      </w:r>
    </w:p>
    <w:p w14:paraId="784C8E85" w14:textId="43684991" w:rsidR="00E7703F" w:rsidRPr="00E7703F" w:rsidRDefault="00E7703F" w:rsidP="00E7703F">
      <w:pPr>
        <w:widowControl/>
        <w:tabs>
          <w:tab w:val="left" w:pos="720"/>
          <w:tab w:val="left" w:pos="3975"/>
          <w:tab w:val="left" w:pos="7530"/>
        </w:tabs>
        <w:adjustRightInd w:val="0"/>
        <w:spacing w:line="288" w:lineRule="auto"/>
        <w:jc w:val="both"/>
        <w:textAlignment w:val="center"/>
        <w:rPr>
          <w:rFonts w:eastAsiaTheme="minorHAnsi"/>
          <w:color w:val="000000"/>
          <w:spacing w:val="-1"/>
          <w:sz w:val="12"/>
          <w:szCs w:val="12"/>
        </w:rPr>
      </w:pPr>
      <w:r w:rsidRPr="00E7703F">
        <w:rPr>
          <w:rFonts w:eastAsiaTheme="minorHAnsi"/>
          <w:color w:val="000000"/>
          <w:spacing w:val="-1"/>
          <w:sz w:val="12"/>
          <w:szCs w:val="12"/>
        </w:rPr>
        <w:t>1530 Lindbergh Drive</w:t>
      </w:r>
    </w:p>
    <w:p w14:paraId="2C048C17" w14:textId="798E78B6" w:rsidR="00E7703F" w:rsidRPr="00E7703F" w:rsidRDefault="00E7703F" w:rsidP="00E7703F">
      <w:pPr>
        <w:widowControl/>
        <w:tabs>
          <w:tab w:val="left" w:pos="720"/>
          <w:tab w:val="left" w:pos="3975"/>
          <w:tab w:val="left" w:pos="7530"/>
        </w:tabs>
        <w:adjustRightInd w:val="0"/>
        <w:spacing w:line="288" w:lineRule="auto"/>
        <w:textAlignment w:val="center"/>
        <w:rPr>
          <w:rFonts w:eastAsiaTheme="minorHAnsi"/>
          <w:color w:val="000000"/>
          <w:spacing w:val="-1"/>
          <w:sz w:val="12"/>
          <w:szCs w:val="12"/>
        </w:rPr>
      </w:pPr>
      <w:r w:rsidRPr="00E7703F">
        <w:rPr>
          <w:rFonts w:eastAsiaTheme="minorHAnsi"/>
          <w:color w:val="000000"/>
          <w:spacing w:val="-1"/>
          <w:sz w:val="12"/>
          <w:szCs w:val="12"/>
        </w:rPr>
        <w:t>Beaumont, TX 77707 USA</w:t>
      </w:r>
    </w:p>
    <w:p w14:paraId="457F06ED" w14:textId="77777777" w:rsidR="00E7703F" w:rsidRPr="00E7703F" w:rsidRDefault="00E7703F" w:rsidP="00E7703F">
      <w:pPr>
        <w:widowControl/>
        <w:tabs>
          <w:tab w:val="left" w:pos="720"/>
          <w:tab w:val="left" w:pos="3975"/>
          <w:tab w:val="left" w:pos="7530"/>
        </w:tabs>
        <w:adjustRightInd w:val="0"/>
        <w:spacing w:line="288" w:lineRule="auto"/>
        <w:jc w:val="both"/>
        <w:textAlignment w:val="center"/>
        <w:rPr>
          <w:rFonts w:eastAsiaTheme="minorHAnsi"/>
          <w:color w:val="000000"/>
          <w:spacing w:val="-1"/>
          <w:sz w:val="12"/>
          <w:szCs w:val="12"/>
        </w:rPr>
      </w:pPr>
    </w:p>
    <w:p w14:paraId="6D820201" w14:textId="77777777" w:rsidR="00E7703F" w:rsidRPr="00E7703F" w:rsidRDefault="00E7703F" w:rsidP="00E7703F">
      <w:pPr>
        <w:widowControl/>
        <w:tabs>
          <w:tab w:val="left" w:pos="720"/>
          <w:tab w:val="left" w:pos="3975"/>
          <w:tab w:val="left" w:pos="7530"/>
        </w:tabs>
        <w:adjustRightInd w:val="0"/>
        <w:spacing w:line="288" w:lineRule="auto"/>
        <w:textAlignment w:val="center"/>
        <w:rPr>
          <w:rFonts w:eastAsiaTheme="minorHAnsi"/>
          <w:color w:val="000000"/>
          <w:spacing w:val="-1"/>
          <w:sz w:val="12"/>
          <w:szCs w:val="12"/>
        </w:rPr>
      </w:pPr>
    </w:p>
    <w:p w14:paraId="2F93DE9E" w14:textId="77777777" w:rsidR="00E7703F" w:rsidRPr="00E7703F" w:rsidRDefault="00E7703F" w:rsidP="00E7703F">
      <w:pPr>
        <w:widowControl/>
        <w:tabs>
          <w:tab w:val="left" w:pos="160"/>
          <w:tab w:val="left" w:pos="320"/>
        </w:tabs>
        <w:suppressAutoHyphens/>
        <w:adjustRightInd w:val="0"/>
        <w:spacing w:line="288" w:lineRule="auto"/>
        <w:textAlignment w:val="center"/>
        <w:rPr>
          <w:rFonts w:eastAsiaTheme="minorHAnsi"/>
          <w:color w:val="000000"/>
          <w:spacing w:val="-1"/>
          <w:sz w:val="12"/>
          <w:szCs w:val="12"/>
        </w:rPr>
      </w:pPr>
      <w:r w:rsidRPr="00E7703F">
        <w:rPr>
          <w:rFonts w:eastAsiaTheme="minorHAnsi"/>
          <w:color w:val="000000"/>
          <w:spacing w:val="-1"/>
          <w:sz w:val="12"/>
          <w:szCs w:val="12"/>
        </w:rPr>
        <w:t>Pro. 211</w:t>
      </w:r>
    </w:p>
    <w:p w14:paraId="265F58AE" w14:textId="199E372B" w:rsidR="00095C74" w:rsidRPr="00E7703F" w:rsidRDefault="00E7703F" w:rsidP="00E7703F">
      <w:pPr>
        <w:widowControl/>
        <w:tabs>
          <w:tab w:val="left" w:pos="600"/>
          <w:tab w:val="left" w:pos="720"/>
          <w:tab w:val="left" w:pos="3975"/>
          <w:tab w:val="left" w:pos="7530"/>
        </w:tabs>
        <w:adjustRightInd w:val="0"/>
        <w:spacing w:line="288" w:lineRule="auto"/>
        <w:textAlignment w:val="center"/>
        <w:rPr>
          <w:rFonts w:ascii="Arial MT Std" w:eastAsiaTheme="minorHAnsi" w:hAnsi="Arial MT Std" w:cs="Arial MT Std"/>
          <w:color w:val="000000"/>
          <w:spacing w:val="-1"/>
          <w:sz w:val="14"/>
          <w:szCs w:val="14"/>
          <w:u w:val="thick" w:color="000000"/>
        </w:rPr>
      </w:pPr>
      <w:r w:rsidRPr="00E7703F">
        <w:rPr>
          <w:rFonts w:eastAsiaTheme="minorHAnsi"/>
          <w:color w:val="000000"/>
          <w:spacing w:val="-1"/>
          <w:sz w:val="12"/>
          <w:szCs w:val="12"/>
        </w:rPr>
        <w:t>7/22(3)</w:t>
      </w:r>
      <w:r w:rsidR="00095C74" w:rsidRPr="00095C74">
        <w:rPr>
          <w:rFonts w:eastAsiaTheme="minorHAnsi"/>
          <w:color w:val="000000"/>
          <w:spacing w:val="-1"/>
          <w:sz w:val="12"/>
          <w:szCs w:val="12"/>
        </w:rPr>
        <w:t xml:space="preserve">         </w:t>
      </w:r>
    </w:p>
    <w:p w14:paraId="68AE5E00" w14:textId="77777777" w:rsidR="00095C74" w:rsidRDefault="00095C74" w:rsidP="00095C74">
      <w:pPr>
        <w:widowControl/>
        <w:tabs>
          <w:tab w:val="left" w:pos="160"/>
          <w:tab w:val="left" w:pos="320"/>
        </w:tabs>
        <w:suppressAutoHyphens/>
        <w:adjustRightInd w:val="0"/>
        <w:spacing w:line="288" w:lineRule="auto"/>
        <w:jc w:val="right"/>
        <w:textAlignment w:val="center"/>
        <w:rPr>
          <w:rFonts w:eastAsiaTheme="minorHAnsi"/>
          <w:color w:val="000000"/>
          <w:spacing w:val="-1"/>
          <w:sz w:val="12"/>
          <w:szCs w:val="12"/>
        </w:rPr>
      </w:pPr>
    </w:p>
    <w:p w14:paraId="15D92873" w14:textId="77777777" w:rsidR="00095C74" w:rsidRDefault="00095C74" w:rsidP="00095C74">
      <w:pPr>
        <w:rPr>
          <w:rFonts w:eastAsiaTheme="minorHAnsi"/>
          <w:color w:val="000000"/>
          <w:spacing w:val="-1"/>
          <w:sz w:val="12"/>
          <w:szCs w:val="12"/>
        </w:rPr>
      </w:pPr>
    </w:p>
    <w:p w14:paraId="37173A31" w14:textId="77777777" w:rsidR="00095C74" w:rsidRDefault="00095C74" w:rsidP="00095C74">
      <w:pPr>
        <w:rPr>
          <w:rFonts w:eastAsiaTheme="minorHAnsi"/>
          <w:color w:val="000000"/>
          <w:spacing w:val="-1"/>
          <w:sz w:val="12"/>
          <w:szCs w:val="12"/>
        </w:rPr>
      </w:pPr>
    </w:p>
    <w:p w14:paraId="063BA803" w14:textId="687C332B" w:rsidR="00881FDC" w:rsidRDefault="00095C74" w:rsidP="00095C74">
      <w:pPr>
        <w:rPr>
          <w:rFonts w:ascii="Arial" w:hAnsi="Arial" w:cs="Arial"/>
          <w:w w:val="95"/>
          <w:sz w:val="12"/>
          <w:szCs w:val="12"/>
        </w:rPr>
      </w:pPr>
      <w:r w:rsidRPr="00095C74">
        <w:rPr>
          <w:noProof/>
          <w:w w:val="95"/>
        </w:rPr>
        <w:drawing>
          <wp:inline distT="0" distB="0" distL="0" distR="0" wp14:anchorId="7FC3E8EF" wp14:editId="19CC23BE">
            <wp:extent cx="1752600" cy="66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52600" cy="660400"/>
                    </a:xfrm>
                    <a:prstGeom prst="rect">
                      <a:avLst/>
                    </a:prstGeom>
                  </pic:spPr>
                </pic:pic>
              </a:graphicData>
            </a:graphic>
          </wp:inline>
        </w:drawing>
      </w:r>
      <w:r w:rsidR="00881FDC">
        <w:rPr>
          <w:w w:val="95"/>
        </w:rPr>
        <w:br w:type="page"/>
      </w:r>
    </w:p>
    <w:p w14:paraId="39A91D42" w14:textId="77777777" w:rsidR="00881FDC" w:rsidRDefault="00881FDC" w:rsidP="00095C74">
      <w:pPr>
        <w:pStyle w:val="BodyText"/>
        <w:spacing w:before="89"/>
        <w:ind w:left="0"/>
        <w:rPr>
          <w:color w:val="231F20"/>
        </w:rPr>
        <w:sectPr w:rsidR="00881FDC" w:rsidSect="00881FDC">
          <w:type w:val="continuous"/>
          <w:pgSz w:w="12240" w:h="15840"/>
          <w:pgMar w:top="840" w:right="440" w:bottom="280" w:left="420" w:header="720" w:footer="720" w:gutter="0"/>
          <w:cols w:space="993"/>
        </w:sectPr>
      </w:pPr>
    </w:p>
    <w:p w14:paraId="3E17213E" w14:textId="6C81DDF5" w:rsidR="00B05BDD" w:rsidRDefault="00B05BDD" w:rsidP="00095C74">
      <w:pPr>
        <w:tabs>
          <w:tab w:val="left" w:pos="350"/>
        </w:tabs>
        <w:spacing w:before="5" w:line="252" w:lineRule="auto"/>
        <w:ind w:right="114"/>
      </w:pPr>
    </w:p>
    <w:sectPr w:rsidR="00B05BDD" w:rsidSect="00095C74">
      <w:pgSz w:w="12240" w:h="15840"/>
      <w:pgMar w:top="840" w:right="420" w:bottom="280" w:left="380" w:header="720" w:footer="720" w:gutter="0"/>
      <w:cols w:num="2" w:space="720" w:equalWidth="0">
        <w:col w:w="5206" w:space="964"/>
        <w:col w:w="52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MT Std">
    <w:altName w:val="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lvl>
    <w:lvl w:ilvl="1" w:tplc="04090019">
      <w:start w:val="1"/>
      <w:numFmt w:val="lowerLetter"/>
      <w:lvlText w:val="%2."/>
      <w:lvlJc w:val="left"/>
      <w:pPr>
        <w:tabs>
          <w:tab w:val="num" w:pos="1200"/>
        </w:tabs>
        <w:ind w:left="1200" w:hanging="360"/>
      </w:pPr>
    </w:lvl>
    <w:lvl w:ilvl="2" w:tplc="0409001B">
      <w:start w:val="1"/>
      <w:numFmt w:val="lowerRoman"/>
      <w:lvlText w:val="%3."/>
      <w:lvlJc w:val="right"/>
      <w:pPr>
        <w:tabs>
          <w:tab w:val="num" w:pos="1920"/>
        </w:tabs>
        <w:ind w:left="1920" w:hanging="180"/>
      </w:pPr>
    </w:lvl>
    <w:lvl w:ilvl="3" w:tplc="0409000F">
      <w:start w:val="1"/>
      <w:numFmt w:val="decimal"/>
      <w:lvlText w:val="%4."/>
      <w:lvlJc w:val="left"/>
      <w:pPr>
        <w:tabs>
          <w:tab w:val="num" w:pos="2640"/>
        </w:tabs>
        <w:ind w:left="2640" w:hanging="360"/>
      </w:pPr>
    </w:lvl>
    <w:lvl w:ilvl="4" w:tplc="04090019">
      <w:start w:val="1"/>
      <w:numFmt w:val="lowerLetter"/>
      <w:lvlText w:val="%5."/>
      <w:lvlJc w:val="left"/>
      <w:pPr>
        <w:tabs>
          <w:tab w:val="num" w:pos="3360"/>
        </w:tabs>
        <w:ind w:left="3360" w:hanging="360"/>
      </w:pPr>
    </w:lvl>
    <w:lvl w:ilvl="5" w:tplc="0409001B">
      <w:start w:val="1"/>
      <w:numFmt w:val="lowerRoman"/>
      <w:lvlText w:val="%6."/>
      <w:lvlJc w:val="right"/>
      <w:pPr>
        <w:tabs>
          <w:tab w:val="num" w:pos="4080"/>
        </w:tabs>
        <w:ind w:left="4080" w:hanging="180"/>
      </w:pPr>
    </w:lvl>
    <w:lvl w:ilvl="6" w:tplc="0409000F">
      <w:start w:val="1"/>
      <w:numFmt w:val="decimal"/>
      <w:lvlText w:val="%7."/>
      <w:lvlJc w:val="left"/>
      <w:pPr>
        <w:tabs>
          <w:tab w:val="num" w:pos="4800"/>
        </w:tabs>
        <w:ind w:left="4800" w:hanging="360"/>
      </w:pPr>
    </w:lvl>
    <w:lvl w:ilvl="7" w:tplc="04090019">
      <w:start w:val="1"/>
      <w:numFmt w:val="lowerLetter"/>
      <w:lvlText w:val="%8."/>
      <w:lvlJc w:val="left"/>
      <w:pPr>
        <w:tabs>
          <w:tab w:val="num" w:pos="5520"/>
        </w:tabs>
        <w:ind w:left="5520" w:hanging="360"/>
      </w:pPr>
    </w:lvl>
    <w:lvl w:ilvl="8" w:tplc="0409001B">
      <w:start w:val="1"/>
      <w:numFmt w:val="lowerRoman"/>
      <w:lvlText w:val="%9."/>
      <w:lvlJc w:val="right"/>
      <w:pPr>
        <w:tabs>
          <w:tab w:val="num" w:pos="6240"/>
        </w:tabs>
        <w:ind w:left="6240" w:hanging="180"/>
      </w:pPr>
    </w:lvl>
  </w:abstractNum>
  <w:abstractNum w:abstractNumId="1" w15:restartNumberingAfterBreak="0">
    <w:nsid w:val="121A1B47"/>
    <w:multiLevelType w:val="hybridMultilevel"/>
    <w:tmpl w:val="315E3F8C"/>
    <w:lvl w:ilvl="0" w:tplc="5FDAB6E2">
      <w:start w:val="1"/>
      <w:numFmt w:val="decimal"/>
      <w:lvlText w:val="%1."/>
      <w:lvlJc w:val="left"/>
      <w:pPr>
        <w:ind w:left="400" w:hanging="240"/>
      </w:pPr>
      <w:rPr>
        <w:rFonts w:ascii="Arial Narrow" w:eastAsia="Arial Narrow" w:hAnsi="Arial Narrow" w:cs="Arial Narrow" w:hint="default"/>
        <w:color w:val="231F20"/>
        <w:spacing w:val="-12"/>
        <w:w w:val="100"/>
        <w:sz w:val="18"/>
        <w:szCs w:val="18"/>
      </w:rPr>
    </w:lvl>
    <w:lvl w:ilvl="1" w:tplc="83A26350">
      <w:numFmt w:val="bullet"/>
      <w:lvlText w:val="•"/>
      <w:lvlJc w:val="left"/>
      <w:pPr>
        <w:ind w:left="880" w:hanging="240"/>
      </w:pPr>
      <w:rPr>
        <w:rFonts w:hint="default"/>
      </w:rPr>
    </w:lvl>
    <w:lvl w:ilvl="2" w:tplc="82A473D6">
      <w:numFmt w:val="bullet"/>
      <w:lvlText w:val="•"/>
      <w:lvlJc w:val="left"/>
      <w:pPr>
        <w:ind w:left="1361" w:hanging="240"/>
      </w:pPr>
      <w:rPr>
        <w:rFonts w:hint="default"/>
      </w:rPr>
    </w:lvl>
    <w:lvl w:ilvl="3" w:tplc="73F05056">
      <w:numFmt w:val="bullet"/>
      <w:lvlText w:val="•"/>
      <w:lvlJc w:val="left"/>
      <w:pPr>
        <w:ind w:left="1841" w:hanging="240"/>
      </w:pPr>
      <w:rPr>
        <w:rFonts w:hint="default"/>
      </w:rPr>
    </w:lvl>
    <w:lvl w:ilvl="4" w:tplc="78F4B696">
      <w:numFmt w:val="bullet"/>
      <w:lvlText w:val="•"/>
      <w:lvlJc w:val="left"/>
      <w:pPr>
        <w:ind w:left="2322" w:hanging="240"/>
      </w:pPr>
      <w:rPr>
        <w:rFonts w:hint="default"/>
      </w:rPr>
    </w:lvl>
    <w:lvl w:ilvl="5" w:tplc="37A65714">
      <w:numFmt w:val="bullet"/>
      <w:lvlText w:val="•"/>
      <w:lvlJc w:val="left"/>
      <w:pPr>
        <w:ind w:left="2802" w:hanging="240"/>
      </w:pPr>
      <w:rPr>
        <w:rFonts w:hint="default"/>
      </w:rPr>
    </w:lvl>
    <w:lvl w:ilvl="6" w:tplc="1A20C28A">
      <w:numFmt w:val="bullet"/>
      <w:lvlText w:val="•"/>
      <w:lvlJc w:val="left"/>
      <w:pPr>
        <w:ind w:left="3283" w:hanging="240"/>
      </w:pPr>
      <w:rPr>
        <w:rFonts w:hint="default"/>
      </w:rPr>
    </w:lvl>
    <w:lvl w:ilvl="7" w:tplc="9EE8D89C">
      <w:numFmt w:val="bullet"/>
      <w:lvlText w:val="•"/>
      <w:lvlJc w:val="left"/>
      <w:pPr>
        <w:ind w:left="3763" w:hanging="240"/>
      </w:pPr>
      <w:rPr>
        <w:rFonts w:hint="default"/>
      </w:rPr>
    </w:lvl>
    <w:lvl w:ilvl="8" w:tplc="5B08A29E">
      <w:numFmt w:val="bullet"/>
      <w:lvlText w:val="•"/>
      <w:lvlJc w:val="left"/>
      <w:pPr>
        <w:ind w:left="4244" w:hanging="240"/>
      </w:pPr>
      <w:rPr>
        <w:rFonts w:hint="default"/>
      </w:rPr>
    </w:lvl>
  </w:abstractNum>
  <w:abstractNum w:abstractNumId="2"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start w:val="1"/>
      <w:numFmt w:val="bullet"/>
      <w:lvlText w:val="o"/>
      <w:lvlJc w:val="left"/>
      <w:pPr>
        <w:tabs>
          <w:tab w:val="num" w:pos="1710"/>
        </w:tabs>
        <w:ind w:left="1710" w:hanging="360"/>
      </w:pPr>
      <w:rPr>
        <w:rFonts w:ascii="Courier New" w:hAnsi="Courier New" w:cs="Times New Roman" w:hint="default"/>
      </w:rPr>
    </w:lvl>
    <w:lvl w:ilvl="2" w:tplc="04090005">
      <w:start w:val="1"/>
      <w:numFmt w:val="bullet"/>
      <w:lvlText w:val=""/>
      <w:lvlJc w:val="left"/>
      <w:pPr>
        <w:tabs>
          <w:tab w:val="num" w:pos="2430"/>
        </w:tabs>
        <w:ind w:left="2430" w:hanging="360"/>
      </w:pPr>
      <w:rPr>
        <w:rFonts w:ascii="Wingdings" w:hAnsi="Wingdings" w:hint="default"/>
      </w:rPr>
    </w:lvl>
    <w:lvl w:ilvl="3" w:tplc="04090001">
      <w:start w:val="1"/>
      <w:numFmt w:val="bullet"/>
      <w:lvlText w:val=""/>
      <w:lvlJc w:val="left"/>
      <w:pPr>
        <w:tabs>
          <w:tab w:val="num" w:pos="3150"/>
        </w:tabs>
        <w:ind w:left="3150" w:hanging="360"/>
      </w:pPr>
      <w:rPr>
        <w:rFonts w:ascii="Symbol" w:hAnsi="Symbol" w:hint="default"/>
      </w:rPr>
    </w:lvl>
    <w:lvl w:ilvl="4" w:tplc="04090003">
      <w:start w:val="1"/>
      <w:numFmt w:val="bullet"/>
      <w:lvlText w:val="o"/>
      <w:lvlJc w:val="left"/>
      <w:pPr>
        <w:tabs>
          <w:tab w:val="num" w:pos="3870"/>
        </w:tabs>
        <w:ind w:left="3870" w:hanging="360"/>
      </w:pPr>
      <w:rPr>
        <w:rFonts w:ascii="Courier New" w:hAnsi="Courier New" w:cs="Times New Roman" w:hint="default"/>
      </w:rPr>
    </w:lvl>
    <w:lvl w:ilvl="5" w:tplc="04090005">
      <w:start w:val="1"/>
      <w:numFmt w:val="bullet"/>
      <w:lvlText w:val=""/>
      <w:lvlJc w:val="left"/>
      <w:pPr>
        <w:tabs>
          <w:tab w:val="num" w:pos="4590"/>
        </w:tabs>
        <w:ind w:left="4590" w:hanging="360"/>
      </w:pPr>
      <w:rPr>
        <w:rFonts w:ascii="Wingdings" w:hAnsi="Wingdings" w:hint="default"/>
      </w:rPr>
    </w:lvl>
    <w:lvl w:ilvl="6" w:tplc="04090001">
      <w:start w:val="1"/>
      <w:numFmt w:val="bullet"/>
      <w:lvlText w:val=""/>
      <w:lvlJc w:val="left"/>
      <w:pPr>
        <w:tabs>
          <w:tab w:val="num" w:pos="5310"/>
        </w:tabs>
        <w:ind w:left="5310" w:hanging="360"/>
      </w:pPr>
      <w:rPr>
        <w:rFonts w:ascii="Symbol" w:hAnsi="Symbol" w:hint="default"/>
      </w:rPr>
    </w:lvl>
    <w:lvl w:ilvl="7" w:tplc="04090003">
      <w:start w:val="1"/>
      <w:numFmt w:val="bullet"/>
      <w:lvlText w:val="o"/>
      <w:lvlJc w:val="left"/>
      <w:pPr>
        <w:tabs>
          <w:tab w:val="num" w:pos="6030"/>
        </w:tabs>
        <w:ind w:left="6030" w:hanging="360"/>
      </w:pPr>
      <w:rPr>
        <w:rFonts w:ascii="Courier New" w:hAnsi="Courier New" w:cs="Times New Roman" w:hint="default"/>
      </w:rPr>
    </w:lvl>
    <w:lvl w:ilvl="8" w:tplc="04090005">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6B3A5BD9"/>
    <w:multiLevelType w:val="hybridMultilevel"/>
    <w:tmpl w:val="A268FC78"/>
    <w:lvl w:ilvl="0" w:tplc="0FCC4964">
      <w:start w:val="1"/>
      <w:numFmt w:val="decimal"/>
      <w:lvlText w:val="%1."/>
      <w:lvlJc w:val="left"/>
      <w:pPr>
        <w:ind w:left="350" w:hanging="240"/>
      </w:pPr>
      <w:rPr>
        <w:rFonts w:ascii="Arial Narrow" w:eastAsia="Arial Narrow" w:hAnsi="Arial Narrow" w:cs="Arial Narrow" w:hint="default"/>
        <w:color w:val="231F20"/>
        <w:spacing w:val="-19"/>
        <w:w w:val="100"/>
        <w:sz w:val="18"/>
        <w:szCs w:val="18"/>
      </w:rPr>
    </w:lvl>
    <w:lvl w:ilvl="1" w:tplc="E25690A2">
      <w:numFmt w:val="bullet"/>
      <w:lvlText w:val="•"/>
      <w:lvlJc w:val="left"/>
      <w:pPr>
        <w:ind w:left="851" w:hanging="240"/>
      </w:pPr>
      <w:rPr>
        <w:rFonts w:hint="default"/>
      </w:rPr>
    </w:lvl>
    <w:lvl w:ilvl="2" w:tplc="2AC64224">
      <w:numFmt w:val="bullet"/>
      <w:lvlText w:val="•"/>
      <w:lvlJc w:val="left"/>
      <w:pPr>
        <w:ind w:left="1342" w:hanging="240"/>
      </w:pPr>
      <w:rPr>
        <w:rFonts w:hint="default"/>
      </w:rPr>
    </w:lvl>
    <w:lvl w:ilvl="3" w:tplc="DEA610BA">
      <w:numFmt w:val="bullet"/>
      <w:lvlText w:val="•"/>
      <w:lvlJc w:val="left"/>
      <w:pPr>
        <w:ind w:left="1833" w:hanging="240"/>
      </w:pPr>
      <w:rPr>
        <w:rFonts w:hint="default"/>
      </w:rPr>
    </w:lvl>
    <w:lvl w:ilvl="4" w:tplc="1BD64504">
      <w:numFmt w:val="bullet"/>
      <w:lvlText w:val="•"/>
      <w:lvlJc w:val="left"/>
      <w:pPr>
        <w:ind w:left="2324" w:hanging="240"/>
      </w:pPr>
      <w:rPr>
        <w:rFonts w:hint="default"/>
      </w:rPr>
    </w:lvl>
    <w:lvl w:ilvl="5" w:tplc="4058C8A4">
      <w:numFmt w:val="bullet"/>
      <w:lvlText w:val="•"/>
      <w:lvlJc w:val="left"/>
      <w:pPr>
        <w:ind w:left="2815" w:hanging="240"/>
      </w:pPr>
      <w:rPr>
        <w:rFonts w:hint="default"/>
      </w:rPr>
    </w:lvl>
    <w:lvl w:ilvl="6" w:tplc="CA66515E">
      <w:numFmt w:val="bullet"/>
      <w:lvlText w:val="•"/>
      <w:lvlJc w:val="left"/>
      <w:pPr>
        <w:ind w:left="3306" w:hanging="240"/>
      </w:pPr>
      <w:rPr>
        <w:rFonts w:hint="default"/>
      </w:rPr>
    </w:lvl>
    <w:lvl w:ilvl="7" w:tplc="1438EF60">
      <w:numFmt w:val="bullet"/>
      <w:lvlText w:val="•"/>
      <w:lvlJc w:val="left"/>
      <w:pPr>
        <w:ind w:left="3797" w:hanging="240"/>
      </w:pPr>
      <w:rPr>
        <w:rFonts w:hint="default"/>
      </w:rPr>
    </w:lvl>
    <w:lvl w:ilvl="8" w:tplc="B81CB6AA">
      <w:numFmt w:val="bullet"/>
      <w:lvlText w:val="•"/>
      <w:lvlJc w:val="left"/>
      <w:pPr>
        <w:ind w:left="4288" w:hanging="240"/>
      </w:pPr>
      <w:rPr>
        <w:rFonts w:hint="default"/>
      </w:rPr>
    </w:lvl>
  </w:abstractNum>
  <w:abstractNum w:abstractNumId="4" w15:restartNumberingAfterBreak="0">
    <w:nsid w:val="7DB556FB"/>
    <w:multiLevelType w:val="hybridMultilevel"/>
    <w:tmpl w:val="2556BF9E"/>
    <w:lvl w:ilvl="0" w:tplc="B17A0670">
      <w:numFmt w:val="bullet"/>
      <w:lvlText w:val="•"/>
      <w:lvlJc w:val="left"/>
      <w:pPr>
        <w:ind w:left="360" w:hanging="240"/>
      </w:pPr>
      <w:rPr>
        <w:rFonts w:ascii="Arial Narrow" w:eastAsia="Arial Narrow" w:hAnsi="Arial Narrow" w:cs="Arial Narrow" w:hint="default"/>
        <w:color w:val="231F20"/>
        <w:spacing w:val="-17"/>
        <w:w w:val="100"/>
        <w:sz w:val="18"/>
        <w:szCs w:val="18"/>
      </w:rPr>
    </w:lvl>
    <w:lvl w:ilvl="1" w:tplc="51B85B6A">
      <w:numFmt w:val="bullet"/>
      <w:lvlText w:val="•"/>
      <w:lvlJc w:val="left"/>
      <w:pPr>
        <w:ind w:left="848" w:hanging="240"/>
      </w:pPr>
      <w:rPr>
        <w:rFonts w:hint="default"/>
      </w:rPr>
    </w:lvl>
    <w:lvl w:ilvl="2" w:tplc="7390CA9A">
      <w:numFmt w:val="bullet"/>
      <w:lvlText w:val="•"/>
      <w:lvlJc w:val="left"/>
      <w:pPr>
        <w:ind w:left="1336" w:hanging="240"/>
      </w:pPr>
      <w:rPr>
        <w:rFonts w:hint="default"/>
      </w:rPr>
    </w:lvl>
    <w:lvl w:ilvl="3" w:tplc="24DC9720">
      <w:numFmt w:val="bullet"/>
      <w:lvlText w:val="•"/>
      <w:lvlJc w:val="left"/>
      <w:pPr>
        <w:ind w:left="1824" w:hanging="240"/>
      </w:pPr>
      <w:rPr>
        <w:rFonts w:hint="default"/>
      </w:rPr>
    </w:lvl>
    <w:lvl w:ilvl="4" w:tplc="2BE2F1BC">
      <w:numFmt w:val="bullet"/>
      <w:lvlText w:val="•"/>
      <w:lvlJc w:val="left"/>
      <w:pPr>
        <w:ind w:left="2312" w:hanging="240"/>
      </w:pPr>
      <w:rPr>
        <w:rFonts w:hint="default"/>
      </w:rPr>
    </w:lvl>
    <w:lvl w:ilvl="5" w:tplc="52DE6BC6">
      <w:numFmt w:val="bullet"/>
      <w:lvlText w:val="•"/>
      <w:lvlJc w:val="left"/>
      <w:pPr>
        <w:ind w:left="2800" w:hanging="240"/>
      </w:pPr>
      <w:rPr>
        <w:rFonts w:hint="default"/>
      </w:rPr>
    </w:lvl>
    <w:lvl w:ilvl="6" w:tplc="0CD8F53A">
      <w:numFmt w:val="bullet"/>
      <w:lvlText w:val="•"/>
      <w:lvlJc w:val="left"/>
      <w:pPr>
        <w:ind w:left="3288" w:hanging="240"/>
      </w:pPr>
      <w:rPr>
        <w:rFonts w:hint="default"/>
      </w:rPr>
    </w:lvl>
    <w:lvl w:ilvl="7" w:tplc="60F6162E">
      <w:numFmt w:val="bullet"/>
      <w:lvlText w:val="•"/>
      <w:lvlJc w:val="left"/>
      <w:pPr>
        <w:ind w:left="3776" w:hanging="240"/>
      </w:pPr>
      <w:rPr>
        <w:rFonts w:hint="default"/>
      </w:rPr>
    </w:lvl>
    <w:lvl w:ilvl="8" w:tplc="1FFA3178">
      <w:numFmt w:val="bullet"/>
      <w:lvlText w:val="•"/>
      <w:lvlJc w:val="left"/>
      <w:pPr>
        <w:ind w:left="4264" w:hanging="240"/>
      </w:pPr>
      <w:rPr>
        <w:rFonts w:hint="default"/>
      </w:rPr>
    </w:lvl>
  </w:abstractNum>
  <w:abstractNum w:abstractNumId="5" w15:restartNumberingAfterBreak="0">
    <w:nsid w:val="7EF41B54"/>
    <w:multiLevelType w:val="hybridMultilevel"/>
    <w:tmpl w:val="3B5E14EE"/>
    <w:lvl w:ilvl="0" w:tplc="601EDDB6">
      <w:start w:val="1"/>
      <w:numFmt w:val="decimal"/>
      <w:lvlText w:val="%1."/>
      <w:lvlJc w:val="left"/>
      <w:pPr>
        <w:ind w:left="360" w:hanging="240"/>
      </w:pPr>
      <w:rPr>
        <w:rFonts w:ascii="Arial Narrow" w:eastAsia="Arial Narrow" w:hAnsi="Arial Narrow" w:cs="Arial Narrow" w:hint="default"/>
        <w:color w:val="231F20"/>
        <w:spacing w:val="-18"/>
        <w:w w:val="100"/>
        <w:sz w:val="18"/>
        <w:szCs w:val="18"/>
      </w:rPr>
    </w:lvl>
    <w:lvl w:ilvl="1" w:tplc="226AB034">
      <w:numFmt w:val="bullet"/>
      <w:lvlText w:val="•"/>
      <w:lvlJc w:val="left"/>
      <w:pPr>
        <w:ind w:left="848" w:hanging="240"/>
      </w:pPr>
      <w:rPr>
        <w:rFonts w:hint="default"/>
      </w:rPr>
    </w:lvl>
    <w:lvl w:ilvl="2" w:tplc="43CC58FA">
      <w:numFmt w:val="bullet"/>
      <w:lvlText w:val="•"/>
      <w:lvlJc w:val="left"/>
      <w:pPr>
        <w:ind w:left="1336" w:hanging="240"/>
      </w:pPr>
      <w:rPr>
        <w:rFonts w:hint="default"/>
      </w:rPr>
    </w:lvl>
    <w:lvl w:ilvl="3" w:tplc="E7321AFA">
      <w:numFmt w:val="bullet"/>
      <w:lvlText w:val="•"/>
      <w:lvlJc w:val="left"/>
      <w:pPr>
        <w:ind w:left="1824" w:hanging="240"/>
      </w:pPr>
      <w:rPr>
        <w:rFonts w:hint="default"/>
      </w:rPr>
    </w:lvl>
    <w:lvl w:ilvl="4" w:tplc="38BE5F12">
      <w:numFmt w:val="bullet"/>
      <w:lvlText w:val="•"/>
      <w:lvlJc w:val="left"/>
      <w:pPr>
        <w:ind w:left="2312" w:hanging="240"/>
      </w:pPr>
      <w:rPr>
        <w:rFonts w:hint="default"/>
      </w:rPr>
    </w:lvl>
    <w:lvl w:ilvl="5" w:tplc="B60C5CAA">
      <w:numFmt w:val="bullet"/>
      <w:lvlText w:val="•"/>
      <w:lvlJc w:val="left"/>
      <w:pPr>
        <w:ind w:left="2800" w:hanging="240"/>
      </w:pPr>
      <w:rPr>
        <w:rFonts w:hint="default"/>
      </w:rPr>
    </w:lvl>
    <w:lvl w:ilvl="6" w:tplc="38F2FD40">
      <w:numFmt w:val="bullet"/>
      <w:lvlText w:val="•"/>
      <w:lvlJc w:val="left"/>
      <w:pPr>
        <w:ind w:left="3288" w:hanging="240"/>
      </w:pPr>
      <w:rPr>
        <w:rFonts w:hint="default"/>
      </w:rPr>
    </w:lvl>
    <w:lvl w:ilvl="7" w:tplc="03D07F5A">
      <w:numFmt w:val="bullet"/>
      <w:lvlText w:val="•"/>
      <w:lvlJc w:val="left"/>
      <w:pPr>
        <w:ind w:left="3776" w:hanging="240"/>
      </w:pPr>
      <w:rPr>
        <w:rFonts w:hint="default"/>
      </w:rPr>
    </w:lvl>
    <w:lvl w:ilvl="8" w:tplc="3352319E">
      <w:numFmt w:val="bullet"/>
      <w:lvlText w:val="•"/>
      <w:lvlJc w:val="left"/>
      <w:pPr>
        <w:ind w:left="4264" w:hanging="240"/>
      </w:pPr>
      <w:rPr>
        <w:rFonts w:hint="default"/>
      </w:rPr>
    </w:lvl>
  </w:abstractNum>
  <w:num w:numId="1" w16cid:durableId="127284966">
    <w:abstractNumId w:val="3"/>
  </w:num>
  <w:num w:numId="2" w16cid:durableId="816411774">
    <w:abstractNumId w:val="1"/>
  </w:num>
  <w:num w:numId="3" w16cid:durableId="613906117">
    <w:abstractNumId w:val="5"/>
  </w:num>
  <w:num w:numId="4" w16cid:durableId="1567032602">
    <w:abstractNumId w:val="4"/>
  </w:num>
  <w:num w:numId="5" w16cid:durableId="2037651709">
    <w:abstractNumId w:val="2"/>
  </w:num>
  <w:num w:numId="6" w16cid:durableId="1011373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B05BDD"/>
    <w:rsid w:val="00095C74"/>
    <w:rsid w:val="00881FDC"/>
    <w:rsid w:val="00B05BDD"/>
    <w:rsid w:val="00E77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27731"/>
  <w15:docId w15:val="{83180534-3660-4801-B35B-529ECBAA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spacing w:before="64"/>
      <w:ind w:left="140"/>
      <w:jc w:val="both"/>
      <w:outlineLvl w:val="0"/>
    </w:pPr>
    <w:rPr>
      <w:b/>
      <w:bCs/>
      <w:sz w:val="20"/>
      <w:szCs w:val="20"/>
    </w:rPr>
  </w:style>
  <w:style w:type="paragraph" w:styleId="Heading2">
    <w:name w:val="heading 2"/>
    <w:basedOn w:val="Normal"/>
    <w:uiPriority w:val="1"/>
    <w:qFormat/>
    <w:pPr>
      <w:ind w:left="120"/>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jc w:val="both"/>
    </w:pPr>
    <w:rPr>
      <w:sz w:val="18"/>
      <w:szCs w:val="18"/>
    </w:rPr>
  </w:style>
  <w:style w:type="paragraph" w:styleId="ListParagraph">
    <w:name w:val="List Paragraph"/>
    <w:basedOn w:val="Normal"/>
    <w:uiPriority w:val="1"/>
    <w:qFormat/>
    <w:pPr>
      <w:ind w:left="360" w:hanging="240"/>
      <w:jc w:val="both"/>
    </w:pPr>
  </w:style>
  <w:style w:type="paragraph" w:customStyle="1" w:styleId="TableParagraph">
    <w:name w:val="Table Paragraph"/>
    <w:basedOn w:val="Normal"/>
    <w:uiPriority w:val="1"/>
    <w:qFormat/>
    <w:pPr>
      <w:jc w:val="right"/>
    </w:pPr>
  </w:style>
  <w:style w:type="paragraph" w:customStyle="1" w:styleId="DefaultText">
    <w:name w:val="Default Text"/>
    <w:basedOn w:val="Normal"/>
    <w:rsid w:val="00881FDC"/>
    <w:pPr>
      <w:widowControl/>
      <w:overflowPunct w:val="0"/>
      <w:adjustRightInd w:val="0"/>
    </w:pPr>
    <w:rPr>
      <w:rFonts w:ascii="Times New Roman" w:eastAsia="Times New Roman" w:hAnsi="Times New Roman" w:cs="Times New Roman"/>
      <w:sz w:val="20"/>
      <w:szCs w:val="20"/>
    </w:rPr>
  </w:style>
  <w:style w:type="paragraph" w:customStyle="1" w:styleId="NoParagraphStyle">
    <w:name w:val="[No Paragraph Style]"/>
    <w:rsid w:val="00095C74"/>
    <w:pPr>
      <w:widowControl/>
      <w:adjustRightInd w:val="0"/>
      <w:spacing w:line="288" w:lineRule="auto"/>
      <w:textAlignment w:val="center"/>
    </w:pPr>
    <w:rPr>
      <w:rFonts w:ascii="Times" w:hAnsi="Times" w:cs="Times"/>
      <w:color w:val="000000"/>
      <w:sz w:val="24"/>
      <w:szCs w:val="24"/>
    </w:rPr>
  </w:style>
  <w:style w:type="paragraph" w:styleId="Header">
    <w:name w:val="header"/>
    <w:basedOn w:val="NoParagraphStyle"/>
    <w:link w:val="HeaderChar"/>
    <w:uiPriority w:val="99"/>
    <w:rsid w:val="00095C74"/>
    <w:pPr>
      <w:spacing w:before="20"/>
    </w:pPr>
    <w:rPr>
      <w:rFonts w:ascii="Arial Narrow" w:hAnsi="Arial Narrow" w:cs="Arial Narrow"/>
      <w:b/>
      <w:bCs/>
      <w:spacing w:val="-1"/>
      <w:sz w:val="14"/>
      <w:szCs w:val="14"/>
    </w:rPr>
  </w:style>
  <w:style w:type="character" w:customStyle="1" w:styleId="HeaderChar">
    <w:name w:val="Header Char"/>
    <w:basedOn w:val="DefaultParagraphFont"/>
    <w:link w:val="Header"/>
    <w:uiPriority w:val="99"/>
    <w:rsid w:val="00095C74"/>
    <w:rPr>
      <w:rFonts w:ascii="Arial Narrow" w:hAnsi="Arial Narrow" w:cs="Arial Narrow"/>
      <w:b/>
      <w:bCs/>
      <w:color w:val="000000"/>
      <w:spacing w:val="-1"/>
      <w:sz w:val="14"/>
      <w:szCs w:val="14"/>
    </w:rPr>
  </w:style>
  <w:style w:type="paragraph" w:customStyle="1" w:styleId="BodyCopy">
    <w:name w:val="Body Copy"/>
    <w:basedOn w:val="NoParagraphStyle"/>
    <w:uiPriority w:val="99"/>
    <w:rsid w:val="00095C74"/>
    <w:pPr>
      <w:tabs>
        <w:tab w:val="left" w:pos="160"/>
        <w:tab w:val="left" w:pos="320"/>
      </w:tabs>
      <w:jc w:val="both"/>
    </w:pPr>
    <w:rPr>
      <w:rFonts w:ascii="Arial Narrow" w:hAnsi="Arial Narrow" w:cs="Arial Narrow"/>
      <w:spacing w:val="-1"/>
      <w:sz w:val="12"/>
      <w:szCs w:val="12"/>
    </w:rPr>
  </w:style>
  <w:style w:type="paragraph" w:customStyle="1" w:styleId="HeaderCAPS">
    <w:name w:val="Header CAPS"/>
    <w:basedOn w:val="NoParagraphStyle"/>
    <w:uiPriority w:val="99"/>
    <w:rsid w:val="00095C74"/>
    <w:pPr>
      <w:spacing w:before="20" w:line="180" w:lineRule="atLeast"/>
    </w:pPr>
    <w:rPr>
      <w:rFonts w:ascii="Arial Narrow" w:hAnsi="Arial Narrow" w:cs="Arial Narrow"/>
      <w:b/>
      <w:bCs/>
      <w:caps/>
      <w:sz w:val="14"/>
      <w:szCs w:val="14"/>
    </w:rPr>
  </w:style>
  <w:style w:type="paragraph" w:customStyle="1" w:styleId="Text">
    <w:name w:val="Text"/>
    <w:basedOn w:val="Normal"/>
    <w:uiPriority w:val="99"/>
    <w:rsid w:val="00095C74"/>
    <w:pPr>
      <w:widowControl/>
      <w:adjustRightInd w:val="0"/>
      <w:spacing w:line="288" w:lineRule="auto"/>
      <w:textAlignment w:val="center"/>
    </w:pPr>
    <w:rPr>
      <w:rFonts w:ascii="Arial" w:eastAsiaTheme="minorHAnsi" w:hAnsi="Arial" w:cs="Arial"/>
      <w:color w:val="000000"/>
      <w:spacing w:val="-1"/>
      <w:sz w:val="12"/>
      <w:szCs w:val="12"/>
    </w:rPr>
  </w:style>
  <w:style w:type="character" w:customStyle="1" w:styleId="Highlight">
    <w:name w:val="Highlight"/>
    <w:uiPriority w:val="99"/>
    <w:rsid w:val="00095C74"/>
    <w:rPr>
      <w:rFonts w:ascii="Arial Narrow MT Std" w:hAnsi="Arial Narrow MT Std" w:cs="Arial Narrow MT Std"/>
      <w:position w:val="0"/>
      <w:sz w:val="14"/>
      <w:szCs w:val="14"/>
      <w:u w:val="thick" w:color="000000"/>
    </w:rPr>
  </w:style>
  <w:style w:type="character" w:customStyle="1" w:styleId="Text1">
    <w:name w:val="Text1"/>
    <w:uiPriority w:val="99"/>
    <w:rsid w:val="00095C74"/>
    <w:rPr>
      <w:rFonts w:ascii="Helvetica" w:hAnsi="Helvetica" w:cs="Helvetica"/>
      <w:color w:val="000000"/>
      <w:spacing w:val="0"/>
      <w:w w:val="100"/>
      <w:position w:val="0"/>
      <w:sz w:val="16"/>
      <w:szCs w:val="16"/>
      <w:u w:val="none"/>
      <w:vertAlign w:val="baseline"/>
    </w:rPr>
  </w:style>
  <w:style w:type="paragraph" w:customStyle="1" w:styleId="PROtitle">
    <w:name w:val="PRO title"/>
    <w:basedOn w:val="Normal"/>
    <w:uiPriority w:val="99"/>
    <w:rsid w:val="00095C74"/>
    <w:pPr>
      <w:widowControl/>
      <w:adjustRightInd w:val="0"/>
      <w:spacing w:line="288" w:lineRule="auto"/>
      <w:textAlignment w:val="center"/>
    </w:pPr>
    <w:rPr>
      <w:rFonts w:eastAsiaTheme="minorHAnsi"/>
      <w:b/>
      <w:bCs/>
      <w:color w:val="000000"/>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8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2055</Words>
  <Characters>11719</Characters>
  <Application>Microsoft Office Word</Application>
  <DocSecurity>0</DocSecurity>
  <Lines>97</Lines>
  <Paragraphs>27</Paragraphs>
  <ScaleCrop>false</ScaleCrop>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2017-03-14T10:37:00Z</dcterms:created>
  <dcterms:modified xsi:type="dcterms:W3CDTF">2022-09-09T13:54:00Z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2014-05-22T00:00:00Z</vt:filetime>
  </property>
  <property fmtid="{D5CDD505-2E9C-101B-9397-08002B2CF9AE}" pid="3" name="Creator">
    <vt:lpwstr>Adobe InDesign CS6 (Macintosh)</vt:lpwstr>
  </property>
  <property fmtid="{D5CDD505-2E9C-101B-9397-08002B2CF9AE}" pid="4" name="LastSaved">
    <vt:filetime>2017-03-14T00:00:00Z</vt:filetime>
  </property>
</Properties>
</file>