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119F0" w14:textId="77777777" w:rsidR="00922F22" w:rsidRPr="00CE1317" w:rsidRDefault="00922F22" w:rsidP="00D9228C">
      <w:pPr>
        <w:rPr>
          <w:rFonts w:ascii="Arial" w:hAnsi="Arial" w:cs="Arial"/>
          <w:i/>
          <w:iCs/>
          <w:sz w:val="22"/>
          <w:szCs w:val="22"/>
        </w:rPr>
      </w:pPr>
      <w:r w:rsidRPr="00CE1317">
        <w:rPr>
          <w:rFonts w:ascii="Arial" w:hAnsi="Arial" w:cs="Arial"/>
          <w:i/>
          <w:iCs/>
          <w:sz w:val="22"/>
          <w:szCs w:val="22"/>
        </w:rPr>
        <w:t>PLEASE READ!!</w:t>
      </w:r>
    </w:p>
    <w:p w14:paraId="4D0CE354" w14:textId="77777777" w:rsidR="00922F22" w:rsidRPr="00CE1317" w:rsidRDefault="00922F22" w:rsidP="00D9228C">
      <w:pPr>
        <w:rPr>
          <w:rFonts w:ascii="Arial" w:hAnsi="Arial" w:cs="Arial"/>
          <w:sz w:val="22"/>
          <w:szCs w:val="22"/>
        </w:rPr>
      </w:pPr>
    </w:p>
    <w:p w14:paraId="0279F0E0"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HELENA LABORATORIES</w:t>
      </w:r>
    </w:p>
    <w:p w14:paraId="1B1A6F4F"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w:t>
      </w:r>
      <w:r w:rsidR="001C146B">
        <w:rPr>
          <w:rFonts w:ascii="Arial" w:hAnsi="Arial" w:cs="Arial"/>
          <w:b/>
          <w:bCs/>
          <w:sz w:val="20"/>
          <w:szCs w:val="20"/>
        </w:rPr>
        <w:t xml:space="preserve"> END USER AGREEMENT</w:t>
      </w:r>
    </w:p>
    <w:p w14:paraId="602CEA70" w14:textId="77777777" w:rsidR="00922F22" w:rsidRPr="00CE1317" w:rsidRDefault="00922F22" w:rsidP="00D9228C">
      <w:pPr>
        <w:rPr>
          <w:rFonts w:ascii="Arial" w:hAnsi="Arial" w:cs="Arial"/>
          <w:sz w:val="20"/>
          <w:szCs w:val="20"/>
        </w:rPr>
      </w:pPr>
    </w:p>
    <w:p w14:paraId="362AB922" w14:textId="77777777" w:rsidR="00922F22" w:rsidRPr="00CE1317" w:rsidRDefault="00922F22" w:rsidP="00D9228C">
      <w:pPr>
        <w:rPr>
          <w:rFonts w:ascii="Arial" w:hAnsi="Arial" w:cs="Arial"/>
          <w:sz w:val="20"/>
          <w:szCs w:val="20"/>
        </w:rPr>
      </w:pPr>
    </w:p>
    <w:p w14:paraId="200D1D27" w14:textId="77777777" w:rsidR="00922F22" w:rsidRPr="00CE1317" w:rsidRDefault="00922F22" w:rsidP="00D9228C">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322425CE" w14:textId="77777777" w:rsidR="00922F22" w:rsidRPr="00CE1317" w:rsidRDefault="00922F22" w:rsidP="00D9228C">
      <w:pPr>
        <w:rPr>
          <w:rFonts w:ascii="Arial" w:hAnsi="Arial" w:cs="Arial"/>
          <w:sz w:val="20"/>
          <w:szCs w:val="20"/>
        </w:rPr>
      </w:pPr>
    </w:p>
    <w:p w14:paraId="2FCB1200" w14:textId="77777777" w:rsidR="00922F22" w:rsidRPr="00CE1317" w:rsidRDefault="00922F22" w:rsidP="00D9228C">
      <w:pPr>
        <w:rPr>
          <w:rFonts w:ascii="Arial" w:hAnsi="Arial" w:cs="Arial"/>
          <w:sz w:val="20"/>
          <w:szCs w:val="20"/>
        </w:rPr>
      </w:pPr>
      <w:r w:rsidRPr="00CE1317">
        <w:rPr>
          <w:rFonts w:ascii="Arial" w:hAnsi="Arial" w:cs="Arial"/>
          <w:sz w:val="20"/>
          <w:szCs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CE1317">
        <w:rPr>
          <w:rFonts w:ascii="Arial" w:hAnsi="Arial" w:cs="Arial"/>
          <w:sz w:val="20"/>
          <w:szCs w:val="20"/>
        </w:rPr>
        <w:t>{ }</w:t>
      </w:r>
      <w:proofErr w:type="gramEnd"/>
      <w:r w:rsidRPr="00CE1317">
        <w:rPr>
          <w:rFonts w:ascii="Arial" w:hAnsi="Arial" w:cs="Arial"/>
          <w:sz w:val="20"/>
          <w:szCs w:val="20"/>
        </w:rPr>
        <w:t>.</w:t>
      </w:r>
    </w:p>
    <w:p w14:paraId="1C7E4C64" w14:textId="77777777" w:rsidR="00922F22" w:rsidRPr="00CE1317" w:rsidRDefault="00922F22" w:rsidP="00D9228C">
      <w:pPr>
        <w:rPr>
          <w:rFonts w:ascii="Arial" w:hAnsi="Arial" w:cs="Arial"/>
          <w:sz w:val="20"/>
          <w:szCs w:val="20"/>
        </w:rPr>
      </w:pPr>
    </w:p>
    <w:p w14:paraId="34454942" w14:textId="77777777" w:rsidR="00922F22" w:rsidRPr="00CE1317" w:rsidRDefault="00922F22" w:rsidP="00D9228C">
      <w:pPr>
        <w:rPr>
          <w:rFonts w:ascii="Arial" w:hAnsi="Arial" w:cs="Arial"/>
          <w:sz w:val="20"/>
          <w:szCs w:val="20"/>
        </w:rPr>
      </w:pPr>
      <w:r w:rsidRPr="00CE1317">
        <w:rPr>
          <w:rFonts w:ascii="Arial" w:hAnsi="Arial" w:cs="Arial"/>
          <w:sz w:val="20"/>
          <w:szCs w:val="20"/>
        </w:rPr>
        <w:t>WHAT YOU NEED TO KNOW:</w:t>
      </w:r>
    </w:p>
    <w:p w14:paraId="611833E7" w14:textId="77777777" w:rsidR="00922F22" w:rsidRPr="00CE1317" w:rsidRDefault="00922F22" w:rsidP="00D9228C">
      <w:pPr>
        <w:rPr>
          <w:rFonts w:ascii="Arial" w:hAnsi="Arial" w:cs="Arial"/>
          <w:sz w:val="20"/>
          <w:szCs w:val="20"/>
        </w:rPr>
      </w:pPr>
    </w:p>
    <w:p w14:paraId="788C1755"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sidR="00805EDF">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3167FFBB" w14:textId="77777777" w:rsidR="00922F22" w:rsidRPr="00CE1317" w:rsidRDefault="00922F22" w:rsidP="00D9228C">
      <w:pPr>
        <w:rPr>
          <w:rFonts w:ascii="Arial" w:hAnsi="Arial" w:cs="Arial"/>
          <w:sz w:val="20"/>
          <w:szCs w:val="20"/>
        </w:rPr>
      </w:pPr>
    </w:p>
    <w:p w14:paraId="7DCA797A"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5BA347A3" w14:textId="77777777" w:rsidR="00922F22" w:rsidRPr="00CE1317" w:rsidRDefault="00922F22" w:rsidP="00D9228C">
      <w:pPr>
        <w:rPr>
          <w:rFonts w:ascii="Arial" w:hAnsi="Arial" w:cs="Arial"/>
          <w:sz w:val="20"/>
          <w:szCs w:val="20"/>
        </w:rPr>
      </w:pPr>
    </w:p>
    <w:p w14:paraId="22001E0B"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798D6010" w14:textId="77777777" w:rsidR="00922F22" w:rsidRPr="00CE1317" w:rsidRDefault="00922F22" w:rsidP="00D9228C">
      <w:pPr>
        <w:ind w:left="1350" w:hanging="540"/>
        <w:rPr>
          <w:rFonts w:ascii="Arial" w:hAnsi="Arial" w:cs="Arial"/>
          <w:sz w:val="20"/>
          <w:szCs w:val="20"/>
        </w:rPr>
      </w:pPr>
    </w:p>
    <w:p w14:paraId="3FAB3E5F" w14:textId="77777777" w:rsidR="00922F22" w:rsidRPr="00CE1317" w:rsidRDefault="00CE1317" w:rsidP="00D9228C">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00922F22"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784A665" w14:textId="77777777" w:rsidR="00922F22" w:rsidRPr="00CE1317" w:rsidRDefault="00922F22" w:rsidP="00D9228C">
      <w:pPr>
        <w:ind w:left="1350" w:hanging="540"/>
        <w:rPr>
          <w:rFonts w:ascii="Arial" w:hAnsi="Arial" w:cs="Arial"/>
          <w:sz w:val="20"/>
          <w:szCs w:val="20"/>
        </w:rPr>
      </w:pPr>
    </w:p>
    <w:p w14:paraId="26F0290A"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66632EE2" w14:textId="77777777" w:rsidR="00922F22" w:rsidRPr="00CE1317" w:rsidRDefault="00922F22" w:rsidP="00D9228C">
      <w:pPr>
        <w:rPr>
          <w:rFonts w:ascii="Arial" w:hAnsi="Arial" w:cs="Arial"/>
          <w:sz w:val="20"/>
          <w:szCs w:val="20"/>
        </w:rPr>
      </w:pPr>
    </w:p>
    <w:p w14:paraId="060A948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5EF0E59E" w14:textId="77777777" w:rsidR="00922F22" w:rsidRPr="00CE1317" w:rsidRDefault="00922F22" w:rsidP="00D9228C">
      <w:pPr>
        <w:rPr>
          <w:rFonts w:ascii="Arial" w:hAnsi="Arial" w:cs="Arial"/>
          <w:sz w:val="20"/>
          <w:szCs w:val="20"/>
        </w:rPr>
      </w:pPr>
    </w:p>
    <w:p w14:paraId="5AA5D1C9"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266E01BC" w14:textId="77777777" w:rsidR="00922F22" w:rsidRPr="00CE1317" w:rsidRDefault="00922F22" w:rsidP="00D9228C">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65454A7C"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 END USER AGREEMENT</w:t>
      </w:r>
    </w:p>
    <w:p w14:paraId="2E4751F0" w14:textId="77777777" w:rsidR="00922F22" w:rsidRPr="00CE1317" w:rsidRDefault="00922F22" w:rsidP="00D9228C">
      <w:pPr>
        <w:rPr>
          <w:rFonts w:ascii="Arial" w:hAnsi="Arial" w:cs="Arial"/>
          <w:sz w:val="20"/>
          <w:szCs w:val="20"/>
        </w:rPr>
      </w:pPr>
    </w:p>
    <w:p w14:paraId="011F2455" w14:textId="77777777" w:rsidR="00922F22" w:rsidRPr="00CE1317" w:rsidRDefault="00922F22" w:rsidP="00D9228C">
      <w:pPr>
        <w:rPr>
          <w:rFonts w:ascii="Arial" w:hAnsi="Arial" w:cs="Arial"/>
          <w:sz w:val="20"/>
          <w:szCs w:val="20"/>
        </w:rPr>
      </w:pPr>
    </w:p>
    <w:p w14:paraId="22C17093" w14:textId="77777777" w:rsidR="00922F22" w:rsidRPr="00CE1317" w:rsidRDefault="00922F22" w:rsidP="00D9228C">
      <w:pPr>
        <w:rPr>
          <w:rFonts w:ascii="Arial" w:hAnsi="Arial" w:cs="Arial"/>
          <w:sz w:val="20"/>
          <w:szCs w:val="20"/>
        </w:rPr>
      </w:pPr>
    </w:p>
    <w:p w14:paraId="72088ADF"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 LABELING – Style/Format Outline</w:t>
      </w:r>
    </w:p>
    <w:p w14:paraId="4CC47FB0" w14:textId="77777777" w:rsidR="00922F22" w:rsidRPr="00CE1317" w:rsidRDefault="00922F22" w:rsidP="00D9228C">
      <w:pPr>
        <w:rPr>
          <w:rFonts w:ascii="Arial" w:hAnsi="Arial" w:cs="Arial"/>
          <w:sz w:val="20"/>
          <w:szCs w:val="20"/>
        </w:rPr>
      </w:pPr>
    </w:p>
    <w:p w14:paraId="2963701C" w14:textId="77777777" w:rsidR="00922F22" w:rsidRPr="00CE1317" w:rsidRDefault="00922F22" w:rsidP="00D9228C">
      <w:pPr>
        <w:rPr>
          <w:rFonts w:ascii="Arial" w:hAnsi="Arial" w:cs="Arial"/>
          <w:sz w:val="20"/>
          <w:szCs w:val="20"/>
        </w:rPr>
      </w:pPr>
    </w:p>
    <w:p w14:paraId="66D0AE99" w14:textId="77777777" w:rsidR="00922F22" w:rsidRPr="00CE1317" w:rsidRDefault="00922F22" w:rsidP="00D9228C">
      <w:pPr>
        <w:rPr>
          <w:rFonts w:ascii="Arial" w:hAnsi="Arial" w:cs="Arial"/>
          <w:sz w:val="20"/>
          <w:szCs w:val="20"/>
        </w:rPr>
      </w:pPr>
    </w:p>
    <w:p w14:paraId="6EC707E9" w14:textId="77777777" w:rsidR="00922F22" w:rsidRPr="00CE1317" w:rsidRDefault="00922F22" w:rsidP="00D9228C">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648757CC" w14:textId="77777777" w:rsidR="00922F22" w:rsidRPr="00CE1317" w:rsidRDefault="00922F22" w:rsidP="00D9228C">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37402B84" w14:textId="77777777" w:rsidR="00922F22" w:rsidRPr="00CE1317" w:rsidRDefault="00922F22" w:rsidP="00D9228C">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33D22AD7" w14:textId="77777777" w:rsidR="00922F22" w:rsidRPr="00CE1317" w:rsidRDefault="00922F22" w:rsidP="00D9228C">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20C24350"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SAMPLE COLLECTION/HANDLING next}</w:t>
      </w:r>
    </w:p>
    <w:p w14:paraId="579D194C"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40E04C2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77D6624F" w14:textId="77777777" w:rsidR="00922F22" w:rsidRPr="00CE1317" w:rsidRDefault="00922F22" w:rsidP="00D9228C">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76867159" w14:textId="77777777" w:rsidR="00922F22" w:rsidRPr="00CE1317" w:rsidRDefault="00922F22" w:rsidP="00D9228C">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1EB75EE4"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QUALITY CONTROL (QC) next}</w:t>
      </w:r>
    </w:p>
    <w:p w14:paraId="7BC01888" w14:textId="77777777" w:rsidR="00922F22" w:rsidRPr="00DD6757" w:rsidRDefault="00922F22" w:rsidP="00D9228C">
      <w:pPr>
        <w:rPr>
          <w:rFonts w:ascii="Arial" w:hAnsi="Arial" w:cs="Arial"/>
          <w:sz w:val="20"/>
          <w:szCs w:val="20"/>
          <w:lang w:val="fr-FR"/>
        </w:rPr>
      </w:pPr>
      <w:r w:rsidRPr="00CE1317">
        <w:rPr>
          <w:rFonts w:ascii="Arial" w:hAnsi="Arial" w:cs="Arial"/>
          <w:sz w:val="20"/>
          <w:szCs w:val="20"/>
        </w:rPr>
        <w:t xml:space="preserve"> </w:t>
      </w:r>
      <w:r w:rsidRPr="00DD6757">
        <w:rPr>
          <w:rFonts w:ascii="Arial" w:hAnsi="Arial" w:cs="Arial"/>
          <w:sz w:val="20"/>
          <w:szCs w:val="20"/>
          <w:lang w:val="fr-FR"/>
        </w:rPr>
        <w:t>9)  RESULTS (</w:t>
      </w:r>
      <w:proofErr w:type="spellStart"/>
      <w:r w:rsidRPr="00DD6757">
        <w:rPr>
          <w:rFonts w:ascii="Arial" w:hAnsi="Arial" w:cs="Arial"/>
          <w:sz w:val="20"/>
          <w:szCs w:val="20"/>
          <w:lang w:val="fr-FR"/>
        </w:rPr>
        <w:t>calculations</w:t>
      </w:r>
      <w:proofErr w:type="spellEnd"/>
      <w:r w:rsidRPr="00DD6757">
        <w:rPr>
          <w:rFonts w:ascii="Arial" w:hAnsi="Arial" w:cs="Arial"/>
          <w:sz w:val="20"/>
          <w:szCs w:val="20"/>
          <w:lang w:val="fr-FR"/>
        </w:rPr>
        <w:t xml:space="preserve">, as </w:t>
      </w:r>
      <w:proofErr w:type="gramStart"/>
      <w:r w:rsidRPr="00DD6757">
        <w:rPr>
          <w:rFonts w:ascii="Arial" w:hAnsi="Arial" w:cs="Arial"/>
          <w:sz w:val="20"/>
          <w:szCs w:val="20"/>
          <w:lang w:val="fr-FR"/>
        </w:rPr>
        <w:t>applicable;</w:t>
      </w:r>
      <w:proofErr w:type="gramEnd"/>
      <w:r w:rsidRPr="00DD6757">
        <w:rPr>
          <w:rFonts w:ascii="Arial" w:hAnsi="Arial" w:cs="Arial"/>
          <w:sz w:val="20"/>
          <w:szCs w:val="20"/>
          <w:lang w:val="fr-FR"/>
        </w:rPr>
        <w:t xml:space="preserve"> etc.)</w:t>
      </w:r>
    </w:p>
    <w:p w14:paraId="137A1318" w14:textId="77777777" w:rsidR="00922F22" w:rsidRPr="00CE1317" w:rsidRDefault="00922F22" w:rsidP="00D9228C">
      <w:pPr>
        <w:rPr>
          <w:rFonts w:ascii="Arial" w:hAnsi="Arial" w:cs="Arial"/>
          <w:sz w:val="20"/>
          <w:szCs w:val="20"/>
        </w:rPr>
      </w:pPr>
      <w:r w:rsidRPr="00CE1317">
        <w:rPr>
          <w:rFonts w:ascii="Arial" w:hAnsi="Arial" w:cs="Arial"/>
          <w:sz w:val="20"/>
          <w:szCs w:val="20"/>
        </w:rPr>
        <w:t>10)  LIMITATIONS/NOTES/INTERFERENCES</w:t>
      </w:r>
    </w:p>
    <w:p w14:paraId="4D3B3298" w14:textId="77777777" w:rsidR="00922F22" w:rsidRPr="00CE1317" w:rsidRDefault="00922F22" w:rsidP="00D9228C">
      <w:pPr>
        <w:rPr>
          <w:rFonts w:ascii="Arial" w:hAnsi="Arial" w:cs="Arial"/>
          <w:sz w:val="20"/>
          <w:szCs w:val="20"/>
        </w:rPr>
      </w:pPr>
      <w:r w:rsidRPr="00CE1317">
        <w:rPr>
          <w:rFonts w:ascii="Arial" w:hAnsi="Arial" w:cs="Arial"/>
          <w:sz w:val="20"/>
          <w:szCs w:val="20"/>
        </w:rPr>
        <w:t>11)  EXPECTED VALUES</w:t>
      </w:r>
    </w:p>
    <w:p w14:paraId="7310D7DE" w14:textId="77777777" w:rsidR="00922F22" w:rsidRPr="00CE1317" w:rsidRDefault="00922F22" w:rsidP="00D9228C">
      <w:pPr>
        <w:rPr>
          <w:rFonts w:ascii="Arial" w:hAnsi="Arial" w:cs="Arial"/>
          <w:sz w:val="20"/>
          <w:szCs w:val="20"/>
        </w:rPr>
      </w:pPr>
      <w:r w:rsidRPr="00CE1317">
        <w:rPr>
          <w:rFonts w:ascii="Arial" w:hAnsi="Arial" w:cs="Arial"/>
          <w:sz w:val="20"/>
          <w:szCs w:val="20"/>
        </w:rPr>
        <w:t>12)  PERFORMANCE CHARACTERISTCS</w:t>
      </w:r>
    </w:p>
    <w:p w14:paraId="68365A01" w14:textId="77777777" w:rsidR="00922F22" w:rsidRPr="00CE1317" w:rsidRDefault="00922F22" w:rsidP="00D9228C">
      <w:pPr>
        <w:rPr>
          <w:rFonts w:ascii="Arial" w:hAnsi="Arial" w:cs="Arial"/>
          <w:sz w:val="20"/>
          <w:szCs w:val="20"/>
        </w:rPr>
      </w:pPr>
      <w:r w:rsidRPr="00CE1317">
        <w:rPr>
          <w:rFonts w:ascii="Arial" w:hAnsi="Arial" w:cs="Arial"/>
          <w:sz w:val="20"/>
          <w:szCs w:val="20"/>
        </w:rPr>
        <w:t>13)  BIBLIOGRAPHY (of pertinent references)</w:t>
      </w:r>
    </w:p>
    <w:p w14:paraId="0827CA09" w14:textId="77777777" w:rsidR="00922F22" w:rsidRPr="00CE1317" w:rsidRDefault="00922F22" w:rsidP="00D9228C">
      <w:pPr>
        <w:rPr>
          <w:rFonts w:ascii="Arial" w:hAnsi="Arial" w:cs="Arial"/>
          <w:sz w:val="20"/>
          <w:szCs w:val="20"/>
        </w:rPr>
      </w:pPr>
      <w:r w:rsidRPr="00CE1317">
        <w:rPr>
          <w:rFonts w:ascii="Arial" w:hAnsi="Arial" w:cs="Arial"/>
          <w:sz w:val="20"/>
          <w:szCs w:val="20"/>
        </w:rPr>
        <w:t>14)  NAME AND PLACE OF BUSINESS OF MANUFACTURER</w:t>
      </w:r>
    </w:p>
    <w:p w14:paraId="797E5D6F" w14:textId="77777777" w:rsidR="00922F22" w:rsidRPr="00CE1317" w:rsidRDefault="00922F22" w:rsidP="00D9228C">
      <w:pPr>
        <w:rPr>
          <w:rFonts w:ascii="Arial" w:hAnsi="Arial" w:cs="Arial"/>
          <w:sz w:val="20"/>
          <w:szCs w:val="20"/>
        </w:rPr>
      </w:pPr>
      <w:r w:rsidRPr="00CE1317">
        <w:rPr>
          <w:rFonts w:ascii="Arial" w:hAnsi="Arial" w:cs="Arial"/>
          <w:sz w:val="20"/>
          <w:szCs w:val="20"/>
        </w:rPr>
        <w:t>15)  DATE OF ISSUANCE OF LABELING (instructions)</w:t>
      </w:r>
    </w:p>
    <w:p w14:paraId="7FD364EE" w14:textId="77777777" w:rsidR="00922F22" w:rsidRPr="00CE1317" w:rsidRDefault="00922F22" w:rsidP="00D9228C">
      <w:pPr>
        <w:rPr>
          <w:rFonts w:ascii="Arial" w:hAnsi="Arial" w:cs="Arial"/>
          <w:sz w:val="20"/>
          <w:szCs w:val="20"/>
        </w:rPr>
      </w:pPr>
    </w:p>
    <w:p w14:paraId="6BD3F72B" w14:textId="77777777" w:rsidR="00922F22" w:rsidRPr="00CE1317" w:rsidRDefault="00922F22" w:rsidP="003F67C4">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sidR="00CE1317">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3DBE1E70" w14:textId="77777777" w:rsidR="00922F22" w:rsidRPr="00CE1317" w:rsidRDefault="00922F22" w:rsidP="00D9228C">
      <w:pPr>
        <w:rPr>
          <w:rFonts w:ascii="Arial" w:hAnsi="Arial" w:cs="Arial"/>
          <w:sz w:val="20"/>
          <w:szCs w:val="20"/>
        </w:rPr>
      </w:pPr>
    </w:p>
    <w:p w14:paraId="41A2853B" w14:textId="77777777" w:rsidR="00922F22" w:rsidRPr="00CE1317" w:rsidRDefault="00922F22" w:rsidP="00D9228C">
      <w:pPr>
        <w:rPr>
          <w:rFonts w:ascii="Arial" w:hAnsi="Arial" w:cs="Arial"/>
          <w:sz w:val="20"/>
          <w:szCs w:val="20"/>
        </w:rPr>
      </w:pPr>
    </w:p>
    <w:p w14:paraId="12DDFA69" w14:textId="77777777" w:rsidR="00922F22" w:rsidRPr="00CE1317" w:rsidRDefault="00922F22" w:rsidP="00D9228C">
      <w:pPr>
        <w:rPr>
          <w:rFonts w:ascii="Arial" w:hAnsi="Arial" w:cs="Arial"/>
          <w:sz w:val="20"/>
          <w:szCs w:val="20"/>
        </w:rPr>
      </w:pPr>
    </w:p>
    <w:p w14:paraId="68DC36AE" w14:textId="77777777" w:rsidR="00922F22" w:rsidRPr="00CE1317" w:rsidRDefault="00922F22" w:rsidP="00D9228C">
      <w:pPr>
        <w:rPr>
          <w:rFonts w:ascii="Arial" w:hAnsi="Arial" w:cs="Arial"/>
          <w:sz w:val="20"/>
          <w:szCs w:val="20"/>
        </w:rPr>
      </w:pPr>
      <w:r w:rsidRPr="00CE1317">
        <w:rPr>
          <w:rFonts w:ascii="Arial" w:hAnsi="Arial" w:cs="Arial"/>
          <w:sz w:val="20"/>
          <w:szCs w:val="20"/>
        </w:rPr>
        <w:t>Form 364</w:t>
      </w:r>
    </w:p>
    <w:p w14:paraId="632A9550"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w:t>
      </w:r>
    </w:p>
    <w:p w14:paraId="73AF11AD" w14:textId="77777777" w:rsidR="00922F22" w:rsidRPr="00C522C5" w:rsidRDefault="00922F22" w:rsidP="00D9228C">
      <w:pPr>
        <w:rPr>
          <w:rFonts w:ascii="Arial" w:hAnsi="Arial" w:cs="Arial"/>
        </w:rPr>
      </w:pPr>
      <w:r w:rsidRPr="00CE1317">
        <w:rPr>
          <w:rFonts w:ascii="Arial" w:hAnsi="Arial" w:cs="Arial"/>
          <w:sz w:val="20"/>
          <w:szCs w:val="20"/>
        </w:rPr>
        <w:t>1/2006 (Rev 3)</w:t>
      </w:r>
    </w:p>
    <w:p w14:paraId="1E45FE1B" w14:textId="77777777" w:rsidR="00DF393A" w:rsidRPr="00C522C5" w:rsidRDefault="00DF393A" w:rsidP="00D9228C">
      <w:pPr>
        <w:rPr>
          <w:rFonts w:ascii="Arial" w:hAnsi="Arial" w:cs="Arial"/>
        </w:rPr>
      </w:pPr>
    </w:p>
    <w:p w14:paraId="7E3206C8" w14:textId="77777777" w:rsidR="00DF393A" w:rsidRPr="00C522C5" w:rsidRDefault="00DF393A" w:rsidP="00D9228C">
      <w:pPr>
        <w:rPr>
          <w:rFonts w:ascii="Arial" w:hAnsi="Arial" w:cs="Arial"/>
        </w:rPr>
      </w:pPr>
    </w:p>
    <w:p w14:paraId="603B109A" w14:textId="77777777" w:rsidR="00DF393A" w:rsidRPr="00C522C5" w:rsidRDefault="00DF393A" w:rsidP="00D9228C">
      <w:pPr>
        <w:rPr>
          <w:rFonts w:ascii="Arial" w:hAnsi="Arial" w:cs="Arial"/>
        </w:rPr>
      </w:pPr>
    </w:p>
    <w:p w14:paraId="54F8DE27" w14:textId="77777777" w:rsidR="00DF393A" w:rsidRPr="00C522C5" w:rsidRDefault="00DF393A" w:rsidP="00D9228C">
      <w:pPr>
        <w:rPr>
          <w:rFonts w:ascii="Arial" w:hAnsi="Arial" w:cs="Arial"/>
        </w:rPr>
      </w:pPr>
    </w:p>
    <w:p w14:paraId="6A6F61D2" w14:textId="77777777" w:rsidR="00DF393A" w:rsidRPr="00C522C5" w:rsidRDefault="00DF393A" w:rsidP="00D9228C">
      <w:pPr>
        <w:rPr>
          <w:rFonts w:ascii="Arial" w:hAnsi="Arial" w:cs="Arial"/>
        </w:rPr>
      </w:pPr>
    </w:p>
    <w:p w14:paraId="4E08A575" w14:textId="77777777" w:rsidR="00CE1317" w:rsidRDefault="00DF393A" w:rsidP="00D9228C">
      <w:pPr>
        <w:pStyle w:val="ProTitle"/>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p>
    <w:p w14:paraId="3CC0501F" w14:textId="77777777" w:rsidR="00CE1317" w:rsidRDefault="00CE1317" w:rsidP="00D9228C">
      <w:pPr>
        <w:pStyle w:val="ProTitle"/>
        <w:jc w:val="left"/>
        <w:rPr>
          <w:rFonts w:ascii="Arial" w:hAnsi="Arial" w:cs="Arial"/>
        </w:rPr>
      </w:pPr>
    </w:p>
    <w:p w14:paraId="38CE8E34" w14:textId="77777777" w:rsidR="00CE1317" w:rsidRDefault="00CE1317" w:rsidP="00D9228C">
      <w:pPr>
        <w:pStyle w:val="ProTitle"/>
        <w:jc w:val="left"/>
        <w:rPr>
          <w:rFonts w:ascii="Arial" w:hAnsi="Arial" w:cs="Arial"/>
        </w:rPr>
      </w:pPr>
    </w:p>
    <w:p w14:paraId="67322BAB" w14:textId="77777777" w:rsidR="00CE1317" w:rsidRDefault="00CE1317" w:rsidP="00D9228C">
      <w:pPr>
        <w:pStyle w:val="ProTitle"/>
        <w:jc w:val="left"/>
        <w:rPr>
          <w:rFonts w:ascii="Arial" w:hAnsi="Arial" w:cs="Arial"/>
        </w:rPr>
      </w:pPr>
    </w:p>
    <w:p w14:paraId="0AC2239A" w14:textId="77777777" w:rsidR="00CE1317" w:rsidRDefault="00CE1317" w:rsidP="00D9228C">
      <w:pPr>
        <w:pStyle w:val="ProTitle"/>
        <w:jc w:val="left"/>
        <w:rPr>
          <w:rFonts w:ascii="Arial" w:hAnsi="Arial" w:cs="Arial"/>
        </w:rPr>
      </w:pPr>
    </w:p>
    <w:p w14:paraId="54DC94AC" w14:textId="77777777" w:rsidR="006B16D4" w:rsidRDefault="006B16D4" w:rsidP="00D9228C">
      <w:pPr>
        <w:pStyle w:val="ProTitle"/>
        <w:jc w:val="left"/>
        <w:rPr>
          <w:rFonts w:ascii="Arial" w:hAnsi="Arial" w:cs="Arial"/>
        </w:rPr>
      </w:pPr>
    </w:p>
    <w:p w14:paraId="2D40807F" w14:textId="77777777" w:rsidR="006B16D4" w:rsidRDefault="006B16D4" w:rsidP="00D9228C">
      <w:pPr>
        <w:pStyle w:val="ProTitle"/>
        <w:jc w:val="left"/>
        <w:rPr>
          <w:rFonts w:ascii="Arial" w:hAnsi="Arial" w:cs="Arial"/>
        </w:rPr>
      </w:pPr>
    </w:p>
    <w:p w14:paraId="1E8E6533" w14:textId="77777777" w:rsidR="006B16D4" w:rsidRDefault="006B16D4" w:rsidP="00D9228C">
      <w:pPr>
        <w:pStyle w:val="ProTitle"/>
        <w:jc w:val="left"/>
        <w:rPr>
          <w:rFonts w:ascii="Arial" w:hAnsi="Arial" w:cs="Arial"/>
        </w:rPr>
      </w:pPr>
    </w:p>
    <w:p w14:paraId="36CA6144" w14:textId="77777777" w:rsidR="00F61CF2" w:rsidRPr="00F61CF2" w:rsidRDefault="00F61CF2" w:rsidP="00F61CF2">
      <w:pPr>
        <w:tabs>
          <w:tab w:val="left" w:pos="240"/>
          <w:tab w:val="left" w:pos="480"/>
          <w:tab w:val="left" w:pos="720"/>
        </w:tabs>
        <w:autoSpaceDE w:val="0"/>
        <w:autoSpaceDN w:val="0"/>
        <w:adjustRightInd w:val="0"/>
        <w:spacing w:line="288" w:lineRule="auto"/>
        <w:jc w:val="right"/>
        <w:textAlignment w:val="center"/>
        <w:rPr>
          <w:rFonts w:ascii="Arial Narrow MT Std" w:hAnsi="Arial Narrow MT Std" w:cs="Arial Narrow MT Std"/>
          <w:b/>
          <w:bCs/>
          <w:color w:val="000000"/>
          <w:sz w:val="36"/>
          <w:szCs w:val="36"/>
        </w:rPr>
      </w:pPr>
      <w:r w:rsidRPr="00F61CF2">
        <w:rPr>
          <w:rFonts w:ascii="Arial Narrow MT Std" w:hAnsi="Arial Narrow MT Std" w:cs="Arial Narrow MT Std"/>
          <w:b/>
          <w:bCs/>
          <w:color w:val="000000"/>
          <w:sz w:val="36"/>
          <w:szCs w:val="36"/>
        </w:rPr>
        <w:lastRenderedPageBreak/>
        <w:t>SPIFE</w:t>
      </w:r>
      <w:r w:rsidRPr="00F61CF2">
        <w:rPr>
          <w:rFonts w:ascii="Arial Narrow MT Std" w:hAnsi="Arial Narrow MT Std" w:cs="Arial Narrow MT Std"/>
          <w:b/>
          <w:bCs/>
          <w:color w:val="000000"/>
          <w:position w:val="14"/>
          <w:sz w:val="16"/>
          <w:szCs w:val="16"/>
        </w:rPr>
        <w:t>®</w:t>
      </w:r>
      <w:r w:rsidRPr="00F61CF2">
        <w:rPr>
          <w:rFonts w:ascii="Arial Narrow MT Std" w:hAnsi="Arial Narrow MT Std" w:cs="Arial Narrow MT Std"/>
          <w:b/>
          <w:bCs/>
          <w:color w:val="000000"/>
          <w:sz w:val="36"/>
          <w:szCs w:val="36"/>
        </w:rPr>
        <w:t xml:space="preserve"> Nexus</w:t>
      </w:r>
    </w:p>
    <w:p w14:paraId="7AB785E1" w14:textId="2F16F6EC" w:rsidR="00816759" w:rsidRDefault="00AE078F" w:rsidP="00F61CF2">
      <w:pPr>
        <w:jc w:val="right"/>
        <w:rPr>
          <w:rFonts w:ascii="Arial MT Std" w:hAnsi="Arial MT Std" w:cs="Arial MT Std"/>
          <w:b/>
          <w:bCs/>
          <w:color w:val="000000"/>
          <w:sz w:val="36"/>
          <w:szCs w:val="36"/>
        </w:rPr>
      </w:pPr>
      <w:r>
        <w:rPr>
          <w:rFonts w:ascii="Arial Narrow MT Std" w:hAnsi="Arial Narrow MT Std" w:cs="Arial Narrow MT Std"/>
          <w:b/>
          <w:bCs/>
          <w:color w:val="000000"/>
          <w:sz w:val="36"/>
          <w:szCs w:val="36"/>
        </w:rPr>
        <w:t>Split Beta SPE-80, 100</w:t>
      </w:r>
      <w:r w:rsidR="00F61CF2" w:rsidRPr="00F61CF2">
        <w:rPr>
          <w:rFonts w:ascii="Arial Narrow MT Std" w:hAnsi="Arial Narrow MT Std" w:cs="Arial Narrow MT Std"/>
          <w:b/>
          <w:bCs/>
          <w:color w:val="000000"/>
          <w:sz w:val="36"/>
          <w:szCs w:val="36"/>
        </w:rPr>
        <w:t xml:space="preserve"> Procedure</w:t>
      </w:r>
    </w:p>
    <w:p w14:paraId="64ACE933" w14:textId="1A4F0542" w:rsidR="00816759" w:rsidRPr="00816759" w:rsidRDefault="006B16D4" w:rsidP="00816759">
      <w:pPr>
        <w:rPr>
          <w:rFonts w:ascii="Arial MT Std" w:hAnsi="Arial MT Std" w:cs="Arial MT Std"/>
          <w:b/>
          <w:bCs/>
          <w:color w:val="000000"/>
          <w:sz w:val="20"/>
          <w:szCs w:val="20"/>
        </w:rPr>
      </w:pPr>
      <w:r w:rsidRPr="00816759">
        <w:rPr>
          <w:rFonts w:ascii="Arial" w:hAnsi="Arial" w:cs="Arial"/>
          <w:noProof/>
          <w:sz w:val="20"/>
          <w:szCs w:val="20"/>
        </w:rPr>
        <w:drawing>
          <wp:anchor distT="0" distB="0" distL="114300" distR="114300" simplePos="0" relativeHeight="251661312" behindDoc="1" locked="0" layoutInCell="1" allowOverlap="1" wp14:anchorId="189C82E4" wp14:editId="47562DBC">
            <wp:simplePos x="0" y="0"/>
            <wp:positionH relativeFrom="column">
              <wp:posOffset>45720</wp:posOffset>
            </wp:positionH>
            <wp:positionV relativeFrom="paragraph">
              <wp:posOffset>257175</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759">
        <w:rPr>
          <w:rFonts w:ascii="Arial" w:hAnsi="Arial" w:cs="Arial"/>
          <w:sz w:val="20"/>
          <w:szCs w:val="20"/>
        </w:rPr>
        <w:t xml:space="preserve">Cat. No. </w:t>
      </w:r>
      <w:r w:rsidR="00AE078F">
        <w:rPr>
          <w:rFonts w:ascii="Arial MT Std" w:hAnsi="Arial MT Std" w:cs="Arial MT Std"/>
          <w:b/>
          <w:bCs/>
          <w:color w:val="000000"/>
          <w:sz w:val="20"/>
          <w:szCs w:val="20"/>
        </w:rPr>
        <w:t>2398, 2399</w:t>
      </w:r>
    </w:p>
    <w:p w14:paraId="325FEE34" w14:textId="587B31E7" w:rsidR="00000000" w:rsidRPr="00C522C5" w:rsidRDefault="00000000" w:rsidP="00320BEC">
      <w:pPr>
        <w:pStyle w:val="Header"/>
        <w:ind w:right="-450"/>
        <w:jc w:val="left"/>
        <w:rPr>
          <w:rFonts w:ascii="Arial" w:hAnsi="Arial" w:cs="Arial"/>
        </w:rPr>
      </w:pPr>
    </w:p>
    <w:p w14:paraId="25420EBE" w14:textId="77777777" w:rsidR="006B16D4" w:rsidRDefault="006B16D4" w:rsidP="00D9228C">
      <w:pPr>
        <w:pStyle w:val="Header"/>
        <w:jc w:val="left"/>
        <w:rPr>
          <w:rFonts w:ascii="Arial" w:hAnsi="Arial" w:cs="Arial"/>
        </w:rPr>
      </w:pPr>
    </w:p>
    <w:p w14:paraId="2164A316"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 xml:space="preserve">INTENDED USE </w:t>
      </w:r>
    </w:p>
    <w:p w14:paraId="2CD138A4"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The SPIFE Nexus Split Beta SPE method is intended to quantitatively determine the presence of normal and abnormal serum proteins and qualitatively determine the presence of urine proteins by agarose electrophoresis using the SPIFE Nexus System.</w:t>
      </w:r>
    </w:p>
    <w:p w14:paraId="7176C783"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 xml:space="preserve">For </w:t>
      </w:r>
      <w:r w:rsidRPr="002B2DD7">
        <w:rPr>
          <w:rFonts w:ascii="Arial" w:hAnsi="Arial" w:cs="Arial"/>
          <w:i/>
          <w:iCs/>
          <w:color w:val="000000"/>
          <w:spacing w:val="-3"/>
          <w:sz w:val="18"/>
          <w:szCs w:val="18"/>
        </w:rPr>
        <w:t>In Vitro</w:t>
      </w:r>
      <w:r w:rsidRPr="002B2DD7">
        <w:rPr>
          <w:rFonts w:ascii="Arial" w:hAnsi="Arial" w:cs="Arial"/>
          <w:color w:val="000000"/>
          <w:spacing w:val="-3"/>
          <w:sz w:val="18"/>
          <w:szCs w:val="18"/>
        </w:rPr>
        <w:t xml:space="preserve"> Diagnostic Use. </w:t>
      </w:r>
    </w:p>
    <w:p w14:paraId="74D0E7EB"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 xml:space="preserve">Rx Only </w:t>
      </w:r>
    </w:p>
    <w:p w14:paraId="0D5E21FA"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SUMMARY</w:t>
      </w:r>
    </w:p>
    <w:p w14:paraId="6F4A342E"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4"/>
          <w:sz w:val="18"/>
          <w:szCs w:val="18"/>
        </w:rPr>
      </w:pPr>
      <w:r w:rsidRPr="002B2DD7">
        <w:rPr>
          <w:rFonts w:ascii="Arial" w:hAnsi="Arial" w:cs="Arial"/>
          <w:color w:val="000000"/>
          <w:spacing w:val="-4"/>
          <w:sz w:val="18"/>
          <w:szCs w:val="18"/>
        </w:rPr>
        <w:t>Serum contains over one hundred individual proteins, with specific functions and various concentrations under different pathologic conditions.</w:t>
      </w:r>
      <w:r w:rsidRPr="002B2DD7">
        <w:rPr>
          <w:rFonts w:ascii="Arial" w:hAnsi="Arial" w:cs="Arial"/>
          <w:color w:val="000000"/>
          <w:spacing w:val="-4"/>
          <w:sz w:val="18"/>
          <w:szCs w:val="18"/>
          <w:vertAlign w:val="superscript"/>
        </w:rPr>
        <w:t>1</w:t>
      </w:r>
      <w:r w:rsidRPr="002B2DD7">
        <w:rPr>
          <w:rFonts w:ascii="Arial" w:hAnsi="Arial" w:cs="Arial"/>
          <w:color w:val="000000"/>
          <w:spacing w:val="-4"/>
          <w:sz w:val="18"/>
          <w:szCs w:val="18"/>
        </w:rPr>
        <w:t xml:space="preserve"> Since introduction of moving-boundary electrophoresis by Tiselius</w:t>
      </w:r>
      <w:r w:rsidRPr="002B2DD7">
        <w:rPr>
          <w:rFonts w:ascii="Arial" w:hAnsi="Arial" w:cs="Arial"/>
          <w:color w:val="000000"/>
          <w:spacing w:val="-4"/>
          <w:sz w:val="18"/>
          <w:szCs w:val="18"/>
          <w:vertAlign w:val="superscript"/>
        </w:rPr>
        <w:t>2</w:t>
      </w:r>
      <w:r w:rsidRPr="002B2DD7">
        <w:rPr>
          <w:rFonts w:ascii="Arial" w:hAnsi="Arial" w:cs="Arial"/>
          <w:color w:val="000000"/>
          <w:spacing w:val="-4"/>
          <w:sz w:val="18"/>
          <w:szCs w:val="18"/>
        </w:rPr>
        <w:t xml:space="preserve"> and the subsequent use of zone electrophoresis, serum proteins have been fractionated on the basis of their electrical charge at a particular pH into five classical fractions: albumin, alpha</w:t>
      </w:r>
      <w:r w:rsidRPr="002B2DD7">
        <w:rPr>
          <w:rFonts w:ascii="Arial" w:hAnsi="Arial" w:cs="Arial"/>
          <w:color w:val="000000"/>
          <w:spacing w:val="-4"/>
          <w:sz w:val="18"/>
          <w:szCs w:val="18"/>
          <w:vertAlign w:val="subscript"/>
        </w:rPr>
        <w:t>1</w:t>
      </w:r>
      <w:r w:rsidRPr="002B2DD7">
        <w:rPr>
          <w:rFonts w:ascii="Arial" w:hAnsi="Arial" w:cs="Arial"/>
          <w:color w:val="000000"/>
          <w:spacing w:val="-4"/>
          <w:sz w:val="18"/>
          <w:szCs w:val="18"/>
        </w:rPr>
        <w:t>, alpha</w:t>
      </w:r>
      <w:r w:rsidRPr="002B2DD7">
        <w:rPr>
          <w:rFonts w:ascii="Arial" w:hAnsi="Arial" w:cs="Arial"/>
          <w:color w:val="000000"/>
          <w:spacing w:val="-4"/>
          <w:sz w:val="18"/>
          <w:szCs w:val="18"/>
          <w:vertAlign w:val="subscript"/>
        </w:rPr>
        <w:t>2</w:t>
      </w:r>
      <w:r w:rsidRPr="002B2DD7">
        <w:rPr>
          <w:rFonts w:ascii="Arial" w:hAnsi="Arial" w:cs="Arial"/>
          <w:color w:val="000000"/>
          <w:spacing w:val="-4"/>
          <w:sz w:val="18"/>
          <w:szCs w:val="18"/>
        </w:rPr>
        <w:t>, beta and gamma proteins. Each of these classical electrophoretic zones, with the exception of albumin, normally contains two or more components. Knowing the relative proportions of these fractions has proven useful in the diagnosis and prognosis of certain disease states.</w:t>
      </w:r>
      <w:r w:rsidRPr="002B2DD7">
        <w:rPr>
          <w:rFonts w:ascii="Arial" w:hAnsi="Arial" w:cs="Arial"/>
          <w:color w:val="000000"/>
          <w:spacing w:val="-4"/>
          <w:sz w:val="18"/>
          <w:szCs w:val="18"/>
          <w:vertAlign w:val="superscript"/>
        </w:rPr>
        <w:t>3,4,5</w:t>
      </w:r>
    </w:p>
    <w:p w14:paraId="0CC0CA0A"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PRINCIPLE</w:t>
      </w:r>
    </w:p>
    <w:p w14:paraId="5B13A8E3"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 xml:space="preserve">Proteins are large molecules composed of covalently linked amino acids. Depending on electron distributions resulting from covalent or ionic bonding of structural subgroups, proteins can be either polar or nonpolar at a given </w:t>
      </w:r>
      <w:proofErr w:type="spellStart"/>
      <w:r w:rsidRPr="002B2DD7">
        <w:rPr>
          <w:rFonts w:ascii="Arial" w:hAnsi="Arial" w:cs="Arial"/>
          <w:color w:val="000000"/>
          <w:spacing w:val="-3"/>
          <w:sz w:val="18"/>
          <w:szCs w:val="18"/>
        </w:rPr>
        <w:t>pH.</w:t>
      </w:r>
      <w:proofErr w:type="spellEnd"/>
      <w:r w:rsidRPr="002B2DD7">
        <w:rPr>
          <w:rFonts w:ascii="Arial" w:hAnsi="Arial" w:cs="Arial"/>
          <w:color w:val="000000"/>
          <w:spacing w:val="-3"/>
          <w:sz w:val="18"/>
          <w:szCs w:val="18"/>
        </w:rPr>
        <w:t xml:space="preserve"> Proteins are separated according to their respective electrical charges on agarose gel using both the electrophoretic and </w:t>
      </w:r>
      <w:proofErr w:type="spellStart"/>
      <w:r w:rsidRPr="002B2DD7">
        <w:rPr>
          <w:rFonts w:ascii="Arial" w:hAnsi="Arial" w:cs="Arial"/>
          <w:color w:val="000000"/>
          <w:spacing w:val="-3"/>
          <w:sz w:val="18"/>
          <w:szCs w:val="18"/>
        </w:rPr>
        <w:t>electroendosmotic</w:t>
      </w:r>
      <w:proofErr w:type="spellEnd"/>
      <w:r w:rsidRPr="002B2DD7">
        <w:rPr>
          <w:rFonts w:ascii="Arial" w:hAnsi="Arial" w:cs="Arial"/>
          <w:color w:val="000000"/>
          <w:spacing w:val="-3"/>
          <w:sz w:val="18"/>
          <w:szCs w:val="18"/>
        </w:rPr>
        <w:t xml:space="preserve"> forces present in the system. The proteins are then stained with a visible stain.</w:t>
      </w:r>
    </w:p>
    <w:p w14:paraId="1C4302B4"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REAGENTS</w:t>
      </w:r>
    </w:p>
    <w:p w14:paraId="4FB96067" w14:textId="073D256D" w:rsidR="002B2DD7" w:rsidRPr="002B2DD7" w:rsidRDefault="002B2DD7" w:rsidP="002B2DD7">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 xml:space="preserve">1. </w:t>
      </w:r>
      <w:r w:rsidRPr="002B2DD7">
        <w:rPr>
          <w:rFonts w:ascii="Arial" w:hAnsi="Arial" w:cs="Arial"/>
          <w:b/>
          <w:bCs/>
          <w:color w:val="000000"/>
          <w:spacing w:val="-3"/>
          <w:sz w:val="18"/>
          <w:szCs w:val="18"/>
        </w:rPr>
        <w:tab/>
        <w:t>SPIFE Split Beta SPE Gel</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Ingredients:</w:t>
      </w:r>
      <w:r w:rsidRPr="002B2DD7">
        <w:rPr>
          <w:rFonts w:ascii="Arial" w:hAnsi="Arial" w:cs="Arial"/>
          <w:color w:val="000000"/>
          <w:spacing w:val="-3"/>
          <w:sz w:val="18"/>
          <w:szCs w:val="18"/>
        </w:rPr>
        <w:t xml:space="preserve"> Each gel contains agarose in a tris-barbital/MOPS buffer with calcium lactate, a stabilizer, and a preservative. </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WARNING: FOR IN-VITRO DIAGNOSTIC USE ONLY.</w:t>
      </w:r>
      <w:r w:rsidRPr="002B2DD7">
        <w:rPr>
          <w:rFonts w:ascii="Arial" w:hAnsi="Arial" w:cs="Arial"/>
          <w:color w:val="000000"/>
          <w:spacing w:val="-3"/>
          <w:sz w:val="18"/>
          <w:szCs w:val="18"/>
        </w:rPr>
        <w:t xml:space="preserve"> The gel contains barbital which, in sufficient quantity, can be toxic.</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 xml:space="preserve">Preparation for Use: </w:t>
      </w:r>
      <w:r w:rsidRPr="002B2DD7">
        <w:rPr>
          <w:rFonts w:ascii="Arial" w:hAnsi="Arial" w:cs="Arial"/>
          <w:color w:val="000000"/>
          <w:spacing w:val="-3"/>
          <w:sz w:val="18"/>
          <w:szCs w:val="18"/>
        </w:rPr>
        <w:t>The gels are ready for use as packaged.</w:t>
      </w:r>
      <w:r w:rsidRPr="002B2DD7">
        <w:rPr>
          <w:rFonts w:ascii="Arial" w:hAnsi="Arial" w:cs="Arial"/>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 xml:space="preserve">Storage and Stability: </w:t>
      </w:r>
      <w:r w:rsidRPr="002B2DD7">
        <w:rPr>
          <w:rFonts w:ascii="Arial" w:hAnsi="Arial" w:cs="Arial"/>
          <w:color w:val="000000"/>
          <w:spacing w:val="-3"/>
          <w:sz w:val="18"/>
          <w:szCs w:val="18"/>
        </w:rPr>
        <w:t xml:space="preserve">The gels should be stored at room temperature (15 to 30°C) and are stable until the expiration date indicated on the package. The gels must be stored horizontally in the protective packaging in which they are shipped. </w:t>
      </w:r>
      <w:r w:rsidRPr="002B2DD7">
        <w:rPr>
          <w:rFonts w:ascii="Arial" w:hAnsi="Arial" w:cs="Arial"/>
          <w:b/>
          <w:bCs/>
          <w:color w:val="000000"/>
          <w:spacing w:val="-3"/>
          <w:sz w:val="18"/>
          <w:szCs w:val="18"/>
        </w:rPr>
        <w:t>DO NOT REFRIGERATE OR FREEZE THE GELS.</w:t>
      </w:r>
      <w:r w:rsidRPr="002B2DD7">
        <w:rPr>
          <w:rFonts w:ascii="Arial" w:hAnsi="Arial" w:cs="Arial"/>
          <w:color w:val="000000"/>
          <w:spacing w:val="-3"/>
          <w:sz w:val="18"/>
          <w:szCs w:val="18"/>
        </w:rPr>
        <w:t xml:space="preserve"> Avoid storage close to a window or heat source, and avoid temperature variation during storage.</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Signs of Deterioration:</w:t>
      </w:r>
      <w:r w:rsidRPr="002B2DD7">
        <w:rPr>
          <w:rFonts w:ascii="Arial" w:hAnsi="Arial" w:cs="Arial"/>
          <w:color w:val="000000"/>
          <w:spacing w:val="-3"/>
          <w:sz w:val="18"/>
          <w:szCs w:val="18"/>
        </w:rPr>
        <w:t xml:space="preserve"> Any of the following conditions may indicate deterioration of the gel: (1) crystalline appearance indicating the agarose has been frozen, (2) cracking and peeling indicating drying of the agarose, (3) bacterial growth indicating contamination, (4) thinning of the gel blocks.</w:t>
      </w:r>
    </w:p>
    <w:p w14:paraId="7D2213AB" w14:textId="7C10C19A" w:rsidR="002B2DD7" w:rsidRPr="002B2DD7" w:rsidRDefault="002B2DD7" w:rsidP="002B2DD7">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 xml:space="preserve">2. </w:t>
      </w:r>
      <w:r w:rsidRPr="002B2DD7">
        <w:rPr>
          <w:rFonts w:ascii="Arial" w:hAnsi="Arial" w:cs="Arial"/>
          <w:b/>
          <w:bCs/>
          <w:color w:val="000000"/>
          <w:spacing w:val="-3"/>
          <w:sz w:val="18"/>
          <w:szCs w:val="18"/>
        </w:rPr>
        <w:tab/>
        <w:t>SPIFE Nexus Blue</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Ingredients:</w:t>
      </w:r>
      <w:r w:rsidRPr="002B2DD7">
        <w:rPr>
          <w:rFonts w:ascii="Arial" w:hAnsi="Arial" w:cs="Arial"/>
          <w:color w:val="000000"/>
          <w:spacing w:val="-3"/>
          <w:sz w:val="18"/>
          <w:szCs w:val="18"/>
        </w:rPr>
        <w:t xml:space="preserve"> The stain contains 0.5% (w/v) acid blue stain, 5% acetic acid, and surfactant.</w:t>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br/>
      </w:r>
      <w:r w:rsidRPr="002B2DD7">
        <w:rPr>
          <w:rFonts w:ascii="Arial" w:hAnsi="Arial" w:cs="Arial"/>
          <w:b/>
          <w:bCs/>
          <w:color w:val="000000"/>
          <w:spacing w:val="-3"/>
          <w:sz w:val="18"/>
          <w:szCs w:val="18"/>
        </w:rPr>
        <w:t>WARNING: FOR IN-VITRO DIAGNOSTIC USE ONLY. DO NOT INGEST.</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 xml:space="preserve">Preparation for Use: </w:t>
      </w:r>
      <w:r w:rsidRPr="002B2DD7">
        <w:rPr>
          <w:rFonts w:ascii="Arial" w:hAnsi="Arial" w:cs="Arial"/>
          <w:color w:val="000000"/>
          <w:spacing w:val="-3"/>
          <w:sz w:val="18"/>
          <w:szCs w:val="18"/>
        </w:rPr>
        <w:t>The stain is ready for use as packaged.</w:t>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b/>
          <w:bCs/>
          <w:color w:val="000000"/>
          <w:spacing w:val="-3"/>
          <w:sz w:val="18"/>
          <w:szCs w:val="18"/>
        </w:rPr>
        <w:br/>
        <w:t>Storage and Stability:</w:t>
      </w:r>
      <w:r w:rsidRPr="002B2DD7">
        <w:rPr>
          <w:rFonts w:ascii="Arial" w:hAnsi="Arial" w:cs="Arial"/>
          <w:color w:val="000000"/>
          <w:spacing w:val="-3"/>
          <w:sz w:val="18"/>
          <w:szCs w:val="18"/>
        </w:rPr>
        <w:t xml:space="preserve"> The stain solution is stable for one year when stored at 15 to 30°C in a closed container.</w:t>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 xml:space="preserve">Signs of Deterioration: </w:t>
      </w:r>
      <w:r w:rsidRPr="002B2DD7">
        <w:rPr>
          <w:rFonts w:ascii="Arial" w:hAnsi="Arial" w:cs="Arial"/>
          <w:color w:val="000000"/>
          <w:spacing w:val="-3"/>
          <w:sz w:val="18"/>
          <w:szCs w:val="18"/>
        </w:rPr>
        <w:t>The prepared stain should be a homogeneous mixture free of precipitate. Discard if precipitate forms.</w:t>
      </w:r>
    </w:p>
    <w:p w14:paraId="69400FEC" w14:textId="52DE4580" w:rsidR="002B2DD7" w:rsidRPr="002B2DD7" w:rsidRDefault="002B2DD7" w:rsidP="002B2DD7">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 xml:space="preserve">3. </w:t>
      </w:r>
      <w:r w:rsidRPr="002B2DD7">
        <w:rPr>
          <w:rFonts w:ascii="Arial" w:hAnsi="Arial" w:cs="Arial"/>
          <w:b/>
          <w:bCs/>
          <w:color w:val="000000"/>
          <w:spacing w:val="-3"/>
          <w:sz w:val="18"/>
          <w:szCs w:val="18"/>
        </w:rPr>
        <w:tab/>
        <w:t xml:space="preserve">Citric Acid </w:t>
      </w:r>
      <w:proofErr w:type="spellStart"/>
      <w:r w:rsidRPr="002B2DD7">
        <w:rPr>
          <w:rFonts w:ascii="Arial" w:hAnsi="Arial" w:cs="Arial"/>
          <w:b/>
          <w:bCs/>
          <w:color w:val="000000"/>
          <w:spacing w:val="-3"/>
          <w:sz w:val="18"/>
          <w:szCs w:val="18"/>
        </w:rPr>
        <w:t>Destain</w:t>
      </w:r>
      <w:proofErr w:type="spellEnd"/>
      <w:r w:rsidRPr="002B2DD7">
        <w:rPr>
          <w:rFonts w:ascii="Arial" w:hAnsi="Arial" w:cs="Arial"/>
          <w:b/>
          <w:bCs/>
          <w:color w:val="000000"/>
          <w:spacing w:val="-3"/>
          <w:sz w:val="18"/>
          <w:szCs w:val="18"/>
        </w:rPr>
        <w:t xml:space="preserve"> </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Ingredients:</w:t>
      </w:r>
      <w:r w:rsidRPr="002B2DD7">
        <w:rPr>
          <w:rFonts w:ascii="Arial" w:hAnsi="Arial" w:cs="Arial"/>
          <w:color w:val="000000"/>
          <w:spacing w:val="-3"/>
          <w:sz w:val="18"/>
          <w:szCs w:val="18"/>
        </w:rPr>
        <w:t xml:space="preserve"> After dissolution, </w:t>
      </w:r>
      <w:proofErr w:type="spellStart"/>
      <w:r w:rsidRPr="002B2DD7">
        <w:rPr>
          <w:rFonts w:ascii="Arial" w:hAnsi="Arial" w:cs="Arial"/>
          <w:color w:val="000000"/>
          <w:spacing w:val="-3"/>
          <w:sz w:val="18"/>
          <w:szCs w:val="18"/>
        </w:rPr>
        <w:t>destain</w:t>
      </w:r>
      <w:proofErr w:type="spellEnd"/>
      <w:r w:rsidRPr="002B2DD7">
        <w:rPr>
          <w:rFonts w:ascii="Arial" w:hAnsi="Arial" w:cs="Arial"/>
          <w:color w:val="000000"/>
          <w:spacing w:val="-3"/>
          <w:sz w:val="18"/>
          <w:szCs w:val="18"/>
        </w:rPr>
        <w:t xml:space="preserve"> contains 0.3% (w/v) citric acid.</w:t>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WARNING: FOR IN-VITRO DIAGNOSTIC USE. DO NOT INGEST - IRRITANT.</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7"/>
          <w:sz w:val="18"/>
          <w:szCs w:val="18"/>
        </w:rPr>
        <w:tab/>
      </w:r>
      <w:r w:rsidRPr="002B2DD7">
        <w:rPr>
          <w:rFonts w:ascii="Arial" w:hAnsi="Arial" w:cs="Arial"/>
          <w:b/>
          <w:bCs/>
          <w:color w:val="000000"/>
          <w:spacing w:val="-7"/>
          <w:sz w:val="18"/>
          <w:szCs w:val="18"/>
        </w:rPr>
        <w:br/>
        <w:t>Preparation for Use:</w:t>
      </w:r>
      <w:r w:rsidRPr="002B2DD7">
        <w:rPr>
          <w:rFonts w:ascii="Arial" w:hAnsi="Arial" w:cs="Arial"/>
          <w:color w:val="000000"/>
          <w:spacing w:val="-7"/>
          <w:sz w:val="18"/>
          <w:szCs w:val="18"/>
        </w:rPr>
        <w:t xml:space="preserve"> Pour 11 L of deionized water into </w:t>
      </w:r>
      <w:proofErr w:type="spellStart"/>
      <w:r w:rsidRPr="002B2DD7">
        <w:rPr>
          <w:rFonts w:ascii="Arial" w:hAnsi="Arial" w:cs="Arial"/>
          <w:color w:val="000000"/>
          <w:spacing w:val="-7"/>
          <w:sz w:val="18"/>
          <w:szCs w:val="18"/>
        </w:rPr>
        <w:t>Destain</w:t>
      </w:r>
      <w:proofErr w:type="spellEnd"/>
      <w:r w:rsidRPr="002B2DD7">
        <w:rPr>
          <w:rFonts w:ascii="Arial" w:hAnsi="Arial" w:cs="Arial"/>
          <w:color w:val="000000"/>
          <w:spacing w:val="-7"/>
          <w:sz w:val="18"/>
          <w:szCs w:val="18"/>
        </w:rPr>
        <w:t xml:space="preserve"> vat. </w:t>
      </w:r>
      <w:r w:rsidRPr="002B2DD7">
        <w:rPr>
          <w:rFonts w:ascii="Arial" w:hAnsi="Arial" w:cs="Arial"/>
          <w:color w:val="000000"/>
          <w:spacing w:val="-3"/>
          <w:sz w:val="18"/>
          <w:szCs w:val="18"/>
        </w:rPr>
        <w:t xml:space="preserve">Add full package of </w:t>
      </w:r>
      <w:proofErr w:type="spellStart"/>
      <w:r w:rsidRPr="002B2DD7">
        <w:rPr>
          <w:rFonts w:ascii="Arial" w:hAnsi="Arial" w:cs="Arial"/>
          <w:color w:val="000000"/>
          <w:spacing w:val="-3"/>
          <w:sz w:val="18"/>
          <w:szCs w:val="18"/>
        </w:rPr>
        <w:t>Destain</w:t>
      </w:r>
      <w:proofErr w:type="spellEnd"/>
      <w:r w:rsidRPr="002B2DD7">
        <w:rPr>
          <w:rFonts w:ascii="Arial" w:hAnsi="Arial" w:cs="Arial"/>
          <w:color w:val="000000"/>
          <w:spacing w:val="-3"/>
          <w:sz w:val="18"/>
          <w:szCs w:val="18"/>
        </w:rPr>
        <w:t xml:space="preserve"> and mix until completely dissolved.</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 xml:space="preserve">Storage and Stability: </w:t>
      </w:r>
      <w:r w:rsidRPr="002B2DD7">
        <w:rPr>
          <w:rFonts w:ascii="Arial" w:hAnsi="Arial" w:cs="Arial"/>
          <w:color w:val="000000"/>
          <w:spacing w:val="-3"/>
          <w:sz w:val="18"/>
          <w:szCs w:val="18"/>
        </w:rPr>
        <w:t xml:space="preserve">Store the </w:t>
      </w:r>
      <w:proofErr w:type="spellStart"/>
      <w:r w:rsidRPr="002B2DD7">
        <w:rPr>
          <w:rFonts w:ascii="Arial" w:hAnsi="Arial" w:cs="Arial"/>
          <w:color w:val="000000"/>
          <w:spacing w:val="-3"/>
          <w:sz w:val="18"/>
          <w:szCs w:val="18"/>
        </w:rPr>
        <w:t>Destain</w:t>
      </w:r>
      <w:proofErr w:type="spellEnd"/>
      <w:r w:rsidRPr="002B2DD7">
        <w:rPr>
          <w:rFonts w:ascii="Arial" w:hAnsi="Arial" w:cs="Arial"/>
          <w:color w:val="000000"/>
          <w:spacing w:val="-3"/>
          <w:sz w:val="18"/>
          <w:szCs w:val="18"/>
        </w:rPr>
        <w:t xml:space="preserve"> at 15 to 30°C. It is stable until the expiration date on the package.</w:t>
      </w:r>
      <w:r w:rsidRPr="002B2DD7">
        <w:rPr>
          <w:rFonts w:ascii="Arial" w:hAnsi="Arial" w:cs="Arial"/>
          <w:color w:val="000000"/>
          <w:spacing w:val="-3"/>
          <w:sz w:val="18"/>
          <w:szCs w:val="18"/>
        </w:rPr>
        <w:tab/>
      </w:r>
    </w:p>
    <w:p w14:paraId="59AFBF8D" w14:textId="341D1D89" w:rsidR="002B2DD7" w:rsidRPr="002B2DD7" w:rsidRDefault="002B2DD7" w:rsidP="002B2DD7">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Signs of Deterioration:</w:t>
      </w:r>
      <w:r w:rsidRPr="002B2DD7">
        <w:rPr>
          <w:rFonts w:ascii="Arial" w:hAnsi="Arial" w:cs="Arial"/>
          <w:color w:val="000000"/>
          <w:spacing w:val="-3"/>
          <w:sz w:val="18"/>
          <w:szCs w:val="18"/>
        </w:rPr>
        <w:t xml:space="preserve"> Discard if solution becomes cloudy.</w:t>
      </w:r>
    </w:p>
    <w:p w14:paraId="6A7F213E" w14:textId="76B2D70E" w:rsidR="002B2DD7" w:rsidRPr="002B2DD7" w:rsidRDefault="002B2DD7" w:rsidP="002B2DD7">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 xml:space="preserve">4. </w:t>
      </w:r>
      <w:r w:rsidRPr="002B2DD7">
        <w:rPr>
          <w:rFonts w:ascii="Arial" w:hAnsi="Arial" w:cs="Arial"/>
          <w:b/>
          <w:bCs/>
          <w:color w:val="000000"/>
          <w:spacing w:val="-3"/>
          <w:sz w:val="18"/>
          <w:szCs w:val="18"/>
        </w:rPr>
        <w:tab/>
        <w:t>SPIFE Nexus Violet (Optional Urine Stain)</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Ingredients:</w:t>
      </w:r>
      <w:r w:rsidRPr="002B2DD7">
        <w:rPr>
          <w:rFonts w:ascii="Arial" w:hAnsi="Arial" w:cs="Arial"/>
          <w:color w:val="000000"/>
          <w:spacing w:val="-3"/>
          <w:sz w:val="18"/>
          <w:szCs w:val="18"/>
        </w:rPr>
        <w:t xml:space="preserve"> Contains 0.2% (w/v) acid violet stain and 10% acetic acid.</w:t>
      </w:r>
      <w:r w:rsidRPr="002B2DD7">
        <w:rPr>
          <w:rFonts w:ascii="Arial" w:hAnsi="Arial" w:cs="Arial"/>
          <w:color w:val="000000"/>
          <w:spacing w:val="-3"/>
          <w:sz w:val="18"/>
          <w:szCs w:val="18"/>
        </w:rPr>
        <w:tab/>
      </w:r>
      <w:r w:rsidRPr="002B2DD7">
        <w:rPr>
          <w:rFonts w:ascii="Arial" w:hAnsi="Arial" w:cs="Arial"/>
          <w:color w:val="000000"/>
          <w:spacing w:val="-3"/>
          <w:sz w:val="18"/>
          <w:szCs w:val="18"/>
        </w:rPr>
        <w:br/>
      </w:r>
      <w:r w:rsidRPr="002B2DD7">
        <w:rPr>
          <w:rFonts w:ascii="Arial" w:hAnsi="Arial" w:cs="Arial"/>
          <w:b/>
          <w:bCs/>
          <w:color w:val="000000"/>
          <w:spacing w:val="-3"/>
          <w:sz w:val="18"/>
          <w:szCs w:val="18"/>
        </w:rPr>
        <w:t>WARNING: FOR IN-VITRO DIAGNOSTIC USE ONLY. DO NOT INGEST.</w:t>
      </w:r>
      <w:r w:rsidRPr="002B2DD7">
        <w:rPr>
          <w:rFonts w:ascii="Arial" w:hAnsi="Arial" w:cs="Arial"/>
          <w:color w:val="000000"/>
          <w:spacing w:val="-3"/>
          <w:sz w:val="18"/>
          <w:szCs w:val="18"/>
        </w:rPr>
        <w:tab/>
      </w:r>
    </w:p>
    <w:p w14:paraId="09A34BDA" w14:textId="2168F14F" w:rsidR="002B2DD7" w:rsidRPr="002B2DD7" w:rsidRDefault="002B2DD7" w:rsidP="002B2DD7">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Preparation for Use:</w:t>
      </w:r>
      <w:r w:rsidRPr="002B2DD7">
        <w:rPr>
          <w:rFonts w:ascii="Arial" w:hAnsi="Arial" w:cs="Arial"/>
          <w:color w:val="000000"/>
          <w:spacing w:val="-3"/>
          <w:sz w:val="18"/>
          <w:szCs w:val="18"/>
        </w:rPr>
        <w:t xml:space="preserve"> The stain is ready for use as packaged.</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Storage and Stability:</w:t>
      </w:r>
      <w:r w:rsidRPr="002B2DD7">
        <w:rPr>
          <w:rFonts w:ascii="Arial" w:hAnsi="Arial" w:cs="Arial"/>
          <w:color w:val="000000"/>
          <w:spacing w:val="-3"/>
          <w:sz w:val="18"/>
          <w:szCs w:val="18"/>
        </w:rPr>
        <w:t xml:space="preserve"> The stain solution is stable for one year when stored at 15 to 30°C in a closed container.</w:t>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t>Signs of Deterioration:</w:t>
      </w:r>
      <w:r w:rsidRPr="002B2DD7">
        <w:rPr>
          <w:rFonts w:ascii="Arial" w:hAnsi="Arial" w:cs="Arial"/>
          <w:color w:val="000000"/>
          <w:spacing w:val="-3"/>
          <w:sz w:val="18"/>
          <w:szCs w:val="18"/>
        </w:rPr>
        <w:t xml:space="preserve"> The stain should be a homogeneous mixture free of precipitate. </w:t>
      </w:r>
    </w:p>
    <w:p w14:paraId="58A1AAEF"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INSTRUMENT</w:t>
      </w:r>
    </w:p>
    <w:p w14:paraId="4D276A44"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lastRenderedPageBreak/>
        <w:t xml:space="preserve">A SPIFE Nexus analyzer must be used to apply samples, electrophorese, stain, </w:t>
      </w:r>
      <w:proofErr w:type="spellStart"/>
      <w:r w:rsidRPr="002B2DD7">
        <w:rPr>
          <w:rFonts w:ascii="Arial" w:hAnsi="Arial" w:cs="Arial"/>
          <w:color w:val="000000"/>
          <w:spacing w:val="-3"/>
          <w:sz w:val="18"/>
          <w:szCs w:val="18"/>
        </w:rPr>
        <w:t>destain</w:t>
      </w:r>
      <w:proofErr w:type="spellEnd"/>
      <w:r w:rsidRPr="002B2DD7">
        <w:rPr>
          <w:rFonts w:ascii="Arial" w:hAnsi="Arial" w:cs="Arial"/>
          <w:color w:val="000000"/>
          <w:spacing w:val="-3"/>
          <w:sz w:val="18"/>
          <w:szCs w:val="18"/>
        </w:rPr>
        <w:t xml:space="preserve">, dry and then scan the gels. The gels may also be scanned on a separate densitometer such as the </w:t>
      </w:r>
      <w:proofErr w:type="spellStart"/>
      <w:r w:rsidRPr="002B2DD7">
        <w:rPr>
          <w:rFonts w:ascii="Arial" w:hAnsi="Arial" w:cs="Arial"/>
          <w:color w:val="000000"/>
          <w:spacing w:val="-3"/>
          <w:sz w:val="18"/>
          <w:szCs w:val="18"/>
        </w:rPr>
        <w:t>QuickScan</w:t>
      </w:r>
      <w:proofErr w:type="spellEnd"/>
      <w:r w:rsidRPr="002B2DD7">
        <w:rPr>
          <w:rFonts w:ascii="Arial" w:hAnsi="Arial" w:cs="Arial"/>
          <w:color w:val="000000"/>
          <w:spacing w:val="-3"/>
          <w:sz w:val="18"/>
          <w:szCs w:val="18"/>
        </w:rPr>
        <w:t xml:space="preserve"> Touch Plus (Cat. No. 1640). Refer to the Operator's Manuals for detailed instructions.</w:t>
      </w:r>
    </w:p>
    <w:p w14:paraId="7C248B91"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 xml:space="preserve">SPECIMEN COLLECTION AND HANDLING </w:t>
      </w:r>
    </w:p>
    <w:p w14:paraId="210B23DA"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 xml:space="preserve">Specimen: </w:t>
      </w:r>
      <w:r w:rsidRPr="002B2DD7">
        <w:rPr>
          <w:rFonts w:ascii="Arial" w:hAnsi="Arial" w:cs="Arial"/>
          <w:color w:val="000000"/>
          <w:spacing w:val="-3"/>
          <w:sz w:val="18"/>
          <w:szCs w:val="18"/>
        </w:rPr>
        <w:t>Fresh serum or urine is the specimen of choice. Use of plasma will cause a fibrinogen band to appear as a distinct narrow band between the beta and gamma fractions.</w:t>
      </w:r>
    </w:p>
    <w:p w14:paraId="436B2482"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Storage and Stability:</w:t>
      </w:r>
      <w:r w:rsidRPr="002B2DD7">
        <w:rPr>
          <w:rFonts w:ascii="Arial" w:hAnsi="Arial" w:cs="Arial"/>
          <w:color w:val="000000"/>
          <w:spacing w:val="-3"/>
          <w:sz w:val="18"/>
          <w:szCs w:val="18"/>
        </w:rPr>
        <w:t xml:space="preserve"> If storage is necessary, store serum samples covered at 15 to 30°C for 4 days, 2 to 8°C for 2 weeks or -20°C for 6 months.</w:t>
      </w:r>
      <w:r w:rsidRPr="002B2DD7">
        <w:rPr>
          <w:rFonts w:ascii="Arial" w:hAnsi="Arial" w:cs="Arial"/>
          <w:color w:val="000000"/>
          <w:spacing w:val="-3"/>
          <w:sz w:val="18"/>
          <w:szCs w:val="18"/>
          <w:vertAlign w:val="superscript"/>
        </w:rPr>
        <w:t>6</w:t>
      </w:r>
      <w:r w:rsidRPr="002B2DD7">
        <w:rPr>
          <w:rFonts w:ascii="Arial" w:hAnsi="Arial" w:cs="Arial"/>
          <w:color w:val="000000"/>
          <w:spacing w:val="-3"/>
          <w:sz w:val="18"/>
          <w:szCs w:val="18"/>
        </w:rPr>
        <w:t xml:space="preserve"> Urine samples may be stored at 2 to 8°C for up to 72 hours or at -20°C for 1 month. </w:t>
      </w:r>
      <w:r w:rsidRPr="002B2DD7">
        <w:rPr>
          <w:rFonts w:ascii="Arial" w:hAnsi="Arial" w:cs="Arial"/>
          <w:color w:val="000000"/>
          <w:spacing w:val="-3"/>
          <w:w w:val="90"/>
          <w:sz w:val="18"/>
          <w:szCs w:val="18"/>
        </w:rPr>
        <w:t>It is the responsibility of the individual laboratory to use all available references and/or its own studies to determine specific stability criteria for its laboratory.</w:t>
      </w:r>
    </w:p>
    <w:p w14:paraId="00645F8E"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 xml:space="preserve">Interfering Factors: </w:t>
      </w:r>
    </w:p>
    <w:p w14:paraId="25B27346" w14:textId="2B83BD04"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1. Hemolysis may cause false elevation in the alpha</w:t>
      </w:r>
      <w:r w:rsidRPr="002B2DD7">
        <w:rPr>
          <w:rFonts w:ascii="Arial" w:hAnsi="Arial" w:cs="Arial"/>
          <w:color w:val="000000"/>
          <w:spacing w:val="-3"/>
          <w:sz w:val="18"/>
          <w:szCs w:val="18"/>
          <w:vertAlign w:val="subscript"/>
        </w:rPr>
        <w:t>2</w:t>
      </w:r>
      <w:r w:rsidRPr="002B2DD7">
        <w:rPr>
          <w:rFonts w:ascii="Arial" w:hAnsi="Arial" w:cs="Arial"/>
          <w:color w:val="000000"/>
          <w:spacing w:val="-3"/>
          <w:sz w:val="18"/>
          <w:szCs w:val="18"/>
        </w:rPr>
        <w:t xml:space="preserve"> and beta fractions.</w:t>
      </w:r>
    </w:p>
    <w:p w14:paraId="49FD101C" w14:textId="77F70B6E"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2. Uncovered specimens may yield inaccurate results due to evaporation.</w:t>
      </w:r>
    </w:p>
    <w:p w14:paraId="0C5FD592"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PROCEDURE</w:t>
      </w:r>
    </w:p>
    <w:p w14:paraId="5390FBE2"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 xml:space="preserve">Materials provided: </w:t>
      </w:r>
      <w:r w:rsidRPr="002B2DD7">
        <w:rPr>
          <w:rFonts w:ascii="Arial" w:hAnsi="Arial" w:cs="Arial"/>
          <w:color w:val="000000"/>
          <w:spacing w:val="-3"/>
          <w:sz w:val="18"/>
          <w:szCs w:val="18"/>
        </w:rPr>
        <w:t>The following materials needed for the procedure are contained in the SPIFE Nexus Split Beta SPE Kit. Individual items are not available.</w:t>
      </w:r>
    </w:p>
    <w:p w14:paraId="7C1BEFA1"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ab/>
        <w:t>Test Size</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t>Cat. No.</w:t>
      </w:r>
    </w:p>
    <w:p w14:paraId="56C4EE38"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80 Samples</w:t>
      </w:r>
      <w:r w:rsidRPr="002B2DD7">
        <w:rPr>
          <w:rFonts w:ascii="Arial" w:hAnsi="Arial" w:cs="Arial"/>
          <w:color w:val="000000"/>
          <w:spacing w:val="-3"/>
          <w:sz w:val="18"/>
          <w:szCs w:val="18"/>
        </w:rPr>
        <w:tab/>
      </w:r>
      <w:r w:rsidRPr="002B2DD7">
        <w:rPr>
          <w:rFonts w:ascii="Arial" w:hAnsi="Arial" w:cs="Arial"/>
          <w:color w:val="000000"/>
          <w:spacing w:val="-3"/>
          <w:sz w:val="18"/>
          <w:szCs w:val="18"/>
        </w:rPr>
        <w:tab/>
        <w:t>2399</w:t>
      </w:r>
    </w:p>
    <w:p w14:paraId="5BF3C890"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100 Samples</w:t>
      </w:r>
      <w:r w:rsidRPr="002B2DD7">
        <w:rPr>
          <w:rFonts w:ascii="Arial" w:hAnsi="Arial" w:cs="Arial"/>
          <w:color w:val="000000"/>
          <w:spacing w:val="-3"/>
          <w:sz w:val="18"/>
          <w:szCs w:val="18"/>
        </w:rPr>
        <w:tab/>
      </w:r>
      <w:r w:rsidRPr="002B2DD7">
        <w:rPr>
          <w:rFonts w:ascii="Arial" w:hAnsi="Arial" w:cs="Arial"/>
          <w:color w:val="000000"/>
          <w:spacing w:val="-3"/>
          <w:sz w:val="18"/>
          <w:szCs w:val="18"/>
        </w:rPr>
        <w:tab/>
        <w:t>2398</w:t>
      </w:r>
    </w:p>
    <w:p w14:paraId="32621D92"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ab/>
        <w:t>Cat. No. 2398, 2399</w:t>
      </w:r>
    </w:p>
    <w:p w14:paraId="79153B09"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Split Beta SPE Gels (10)</w:t>
      </w:r>
    </w:p>
    <w:p w14:paraId="3E86AFAC"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Blue (1 vial)</w:t>
      </w:r>
    </w:p>
    <w:p w14:paraId="500E266F"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Blotter C (10)</w:t>
      </w:r>
    </w:p>
    <w:p w14:paraId="49E55F11"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 xml:space="preserve">Citric Acid </w:t>
      </w:r>
      <w:proofErr w:type="spellStart"/>
      <w:r w:rsidRPr="002B2DD7">
        <w:rPr>
          <w:rFonts w:ascii="Arial" w:hAnsi="Arial" w:cs="Arial"/>
          <w:color w:val="000000"/>
          <w:spacing w:val="-3"/>
          <w:sz w:val="18"/>
          <w:szCs w:val="18"/>
        </w:rPr>
        <w:t>Destain</w:t>
      </w:r>
      <w:proofErr w:type="spellEnd"/>
      <w:r w:rsidRPr="002B2DD7">
        <w:rPr>
          <w:rFonts w:ascii="Arial" w:hAnsi="Arial" w:cs="Arial"/>
          <w:color w:val="000000"/>
          <w:spacing w:val="-3"/>
          <w:sz w:val="18"/>
          <w:szCs w:val="18"/>
        </w:rPr>
        <w:t xml:space="preserve"> (1 pkg)</w:t>
      </w:r>
    </w:p>
    <w:p w14:paraId="7F7CFAD8"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Serrated Blade Applicator Kit, 20 Sample (40/50)</w:t>
      </w:r>
    </w:p>
    <w:p w14:paraId="78B03158"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before="47"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Materials provided but not contained in the kit:</w:t>
      </w:r>
    </w:p>
    <w:p w14:paraId="1A61E6FF" w14:textId="77777777" w:rsidR="002B2DD7" w:rsidRPr="002B2DD7" w:rsidRDefault="002B2DD7" w:rsidP="002B2DD7">
      <w:pPr>
        <w:tabs>
          <w:tab w:val="left" w:pos="280"/>
          <w:tab w:val="left" w:pos="520"/>
          <w:tab w:val="left" w:pos="760"/>
          <w:tab w:val="left" w:pos="860"/>
          <w:tab w:val="left" w:pos="2100"/>
          <w:tab w:val="right" w:pos="492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ab/>
        <w:t>Item</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t>Cat. No.</w:t>
      </w:r>
    </w:p>
    <w:p w14:paraId="38E77903"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Analyzer</w:t>
      </w:r>
      <w:r w:rsidRPr="002B2DD7">
        <w:rPr>
          <w:rFonts w:ascii="Arial" w:hAnsi="Arial" w:cs="Arial"/>
          <w:color w:val="000000"/>
          <w:spacing w:val="-3"/>
          <w:sz w:val="18"/>
          <w:szCs w:val="18"/>
        </w:rPr>
        <w:tab/>
      </w:r>
      <w:r w:rsidRPr="002B2DD7">
        <w:rPr>
          <w:rFonts w:ascii="Arial" w:hAnsi="Arial" w:cs="Arial"/>
          <w:color w:val="000000"/>
          <w:spacing w:val="-3"/>
          <w:sz w:val="18"/>
          <w:szCs w:val="18"/>
        </w:rPr>
        <w:tab/>
        <w:t>1650</w:t>
      </w:r>
    </w:p>
    <w:p w14:paraId="231A40A8"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proofErr w:type="spellStart"/>
      <w:r w:rsidRPr="002B2DD7">
        <w:rPr>
          <w:rFonts w:ascii="Arial" w:hAnsi="Arial" w:cs="Arial"/>
          <w:color w:val="000000"/>
          <w:spacing w:val="-3"/>
          <w:sz w:val="18"/>
          <w:szCs w:val="18"/>
        </w:rPr>
        <w:t>QuickScan</w:t>
      </w:r>
      <w:proofErr w:type="spellEnd"/>
      <w:r w:rsidRPr="002B2DD7">
        <w:rPr>
          <w:rFonts w:ascii="Arial" w:hAnsi="Arial" w:cs="Arial"/>
          <w:color w:val="000000"/>
          <w:spacing w:val="-3"/>
          <w:sz w:val="18"/>
          <w:szCs w:val="18"/>
        </w:rPr>
        <w:t xml:space="preserve"> Touch Plus</w:t>
      </w:r>
      <w:r w:rsidRPr="002B2DD7">
        <w:rPr>
          <w:rFonts w:ascii="Arial" w:hAnsi="Arial" w:cs="Arial"/>
          <w:color w:val="000000"/>
          <w:spacing w:val="-3"/>
          <w:sz w:val="18"/>
          <w:szCs w:val="18"/>
        </w:rPr>
        <w:tab/>
      </w:r>
      <w:r w:rsidRPr="002B2DD7">
        <w:rPr>
          <w:rFonts w:ascii="Arial" w:hAnsi="Arial" w:cs="Arial"/>
          <w:color w:val="000000"/>
          <w:spacing w:val="-3"/>
          <w:sz w:val="18"/>
          <w:szCs w:val="18"/>
        </w:rPr>
        <w:tab/>
        <w:t>1640</w:t>
      </w:r>
    </w:p>
    <w:p w14:paraId="412F3B55"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Gel Block Remover</w:t>
      </w:r>
      <w:r w:rsidRPr="002B2DD7">
        <w:rPr>
          <w:rFonts w:ascii="Arial" w:hAnsi="Arial" w:cs="Arial"/>
          <w:color w:val="000000"/>
          <w:spacing w:val="-3"/>
          <w:sz w:val="18"/>
          <w:szCs w:val="18"/>
        </w:rPr>
        <w:tab/>
        <w:t>1115</w:t>
      </w:r>
    </w:p>
    <w:p w14:paraId="4C03FE99"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SPE Normal Control</w:t>
      </w:r>
      <w:r w:rsidRPr="002B2DD7">
        <w:rPr>
          <w:rFonts w:ascii="Arial" w:hAnsi="Arial" w:cs="Arial"/>
          <w:color w:val="000000"/>
          <w:spacing w:val="-3"/>
          <w:sz w:val="18"/>
          <w:szCs w:val="18"/>
        </w:rPr>
        <w:tab/>
      </w:r>
      <w:r w:rsidRPr="002B2DD7">
        <w:rPr>
          <w:rFonts w:ascii="Arial" w:hAnsi="Arial" w:cs="Arial"/>
          <w:color w:val="000000"/>
          <w:spacing w:val="-3"/>
          <w:sz w:val="18"/>
          <w:szCs w:val="18"/>
        </w:rPr>
        <w:tab/>
        <w:t>3424</w:t>
      </w:r>
    </w:p>
    <w:p w14:paraId="504B21CD"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SPE Abnormal Control</w:t>
      </w:r>
      <w:r w:rsidRPr="002B2DD7">
        <w:rPr>
          <w:rFonts w:ascii="Arial" w:hAnsi="Arial" w:cs="Arial"/>
          <w:color w:val="000000"/>
          <w:spacing w:val="-3"/>
          <w:sz w:val="18"/>
          <w:szCs w:val="18"/>
        </w:rPr>
        <w:tab/>
      </w:r>
      <w:r w:rsidRPr="002B2DD7">
        <w:rPr>
          <w:rFonts w:ascii="Arial" w:hAnsi="Arial" w:cs="Arial"/>
          <w:color w:val="000000"/>
          <w:spacing w:val="-3"/>
          <w:sz w:val="18"/>
          <w:szCs w:val="18"/>
        </w:rPr>
        <w:tab/>
        <w:t>3425</w:t>
      </w:r>
    </w:p>
    <w:p w14:paraId="6D5C96BA"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Dispo Sample Cups, Deep Well</w:t>
      </w:r>
      <w:r w:rsidRPr="002B2DD7">
        <w:rPr>
          <w:rFonts w:ascii="Arial" w:hAnsi="Arial" w:cs="Arial"/>
          <w:color w:val="000000"/>
          <w:spacing w:val="-3"/>
          <w:sz w:val="18"/>
          <w:szCs w:val="18"/>
        </w:rPr>
        <w:tab/>
        <w:t>3360</w:t>
      </w:r>
    </w:p>
    <w:p w14:paraId="140F54EF"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80, 100 Dispo Cup Tray</w:t>
      </w:r>
      <w:r w:rsidRPr="002B2DD7">
        <w:rPr>
          <w:rFonts w:ascii="Arial" w:hAnsi="Arial" w:cs="Arial"/>
          <w:color w:val="000000"/>
          <w:spacing w:val="-3"/>
          <w:sz w:val="18"/>
          <w:szCs w:val="18"/>
        </w:rPr>
        <w:tab/>
        <w:t>3366</w:t>
      </w:r>
    </w:p>
    <w:p w14:paraId="2B3A15F0"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Cassette</w:t>
      </w:r>
      <w:r w:rsidRPr="002B2DD7">
        <w:rPr>
          <w:rFonts w:ascii="Arial" w:hAnsi="Arial" w:cs="Arial"/>
          <w:color w:val="000000"/>
          <w:spacing w:val="-3"/>
          <w:sz w:val="18"/>
          <w:szCs w:val="18"/>
        </w:rPr>
        <w:tab/>
      </w:r>
      <w:r w:rsidRPr="002B2DD7">
        <w:rPr>
          <w:rFonts w:ascii="Arial" w:hAnsi="Arial" w:cs="Arial"/>
          <w:color w:val="000000"/>
          <w:spacing w:val="-3"/>
          <w:sz w:val="18"/>
          <w:szCs w:val="18"/>
        </w:rPr>
        <w:tab/>
        <w:t>2580</w:t>
      </w:r>
    </w:p>
    <w:p w14:paraId="6E686C1B"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Applicator Templates</w:t>
      </w:r>
      <w:r w:rsidRPr="002B2DD7">
        <w:rPr>
          <w:rFonts w:ascii="Arial" w:hAnsi="Arial" w:cs="Arial"/>
          <w:color w:val="000000"/>
          <w:spacing w:val="-3"/>
          <w:sz w:val="18"/>
          <w:szCs w:val="18"/>
        </w:rPr>
        <w:tab/>
        <w:t>2570</w:t>
      </w:r>
    </w:p>
    <w:p w14:paraId="3708326F"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Applicator Blade Weights</w:t>
      </w:r>
      <w:r w:rsidRPr="002B2DD7">
        <w:rPr>
          <w:rFonts w:ascii="Arial" w:hAnsi="Arial" w:cs="Arial"/>
          <w:color w:val="000000"/>
          <w:spacing w:val="-3"/>
          <w:sz w:val="18"/>
          <w:szCs w:val="18"/>
        </w:rPr>
        <w:tab/>
        <w:t>2572</w:t>
      </w:r>
    </w:p>
    <w:p w14:paraId="50839215"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Dispo Stain Cups</w:t>
      </w:r>
      <w:r w:rsidRPr="002B2DD7">
        <w:rPr>
          <w:rFonts w:ascii="Arial" w:hAnsi="Arial" w:cs="Arial"/>
          <w:color w:val="000000"/>
          <w:spacing w:val="-3"/>
          <w:sz w:val="18"/>
          <w:szCs w:val="18"/>
        </w:rPr>
        <w:tab/>
        <w:t>2575</w:t>
      </w:r>
    </w:p>
    <w:p w14:paraId="62880D96"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 xml:space="preserve">Pos ID Barcode Labels for Touch &amp; </w:t>
      </w:r>
    </w:p>
    <w:p w14:paraId="187E2B28"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Systems</w:t>
      </w:r>
      <w:r w:rsidRPr="002B2DD7">
        <w:rPr>
          <w:rFonts w:ascii="Arial" w:hAnsi="Arial" w:cs="Arial"/>
          <w:color w:val="000000"/>
          <w:spacing w:val="-3"/>
          <w:sz w:val="18"/>
          <w:szCs w:val="18"/>
        </w:rPr>
        <w:tab/>
      </w:r>
      <w:r w:rsidRPr="002B2DD7">
        <w:rPr>
          <w:rFonts w:ascii="Arial" w:hAnsi="Arial" w:cs="Arial"/>
          <w:color w:val="000000"/>
          <w:spacing w:val="-3"/>
          <w:sz w:val="18"/>
          <w:szCs w:val="18"/>
        </w:rPr>
        <w:tab/>
        <w:t>1696</w:t>
      </w:r>
    </w:p>
    <w:p w14:paraId="3B4A5414"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REP Prep</w:t>
      </w:r>
      <w:r w:rsidRPr="002B2DD7">
        <w:rPr>
          <w:rFonts w:ascii="Arial" w:hAnsi="Arial" w:cs="Arial"/>
          <w:color w:val="000000"/>
          <w:spacing w:val="-3"/>
          <w:sz w:val="18"/>
          <w:szCs w:val="18"/>
        </w:rPr>
        <w:tab/>
      </w:r>
      <w:r w:rsidRPr="002B2DD7">
        <w:rPr>
          <w:rFonts w:ascii="Arial" w:hAnsi="Arial" w:cs="Arial"/>
          <w:color w:val="000000"/>
          <w:spacing w:val="-3"/>
          <w:sz w:val="18"/>
          <w:szCs w:val="18"/>
        </w:rPr>
        <w:tab/>
        <w:t>3100</w:t>
      </w:r>
    </w:p>
    <w:p w14:paraId="2D886619"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Reagent Roller</w:t>
      </w:r>
      <w:r w:rsidRPr="002B2DD7">
        <w:rPr>
          <w:rFonts w:ascii="Arial" w:hAnsi="Arial" w:cs="Arial"/>
          <w:color w:val="000000"/>
          <w:spacing w:val="-3"/>
          <w:sz w:val="18"/>
          <w:szCs w:val="18"/>
        </w:rPr>
        <w:tab/>
        <w:t>2583</w:t>
      </w:r>
    </w:p>
    <w:p w14:paraId="64C196F6"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Ready Run Kit</w:t>
      </w:r>
      <w:r w:rsidRPr="002B2DD7">
        <w:rPr>
          <w:rFonts w:ascii="Arial" w:hAnsi="Arial" w:cs="Arial"/>
          <w:color w:val="000000"/>
          <w:spacing w:val="-3"/>
          <w:sz w:val="18"/>
          <w:szCs w:val="18"/>
        </w:rPr>
        <w:tab/>
        <w:t>2582</w:t>
      </w:r>
    </w:p>
    <w:p w14:paraId="71C938F3"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Carbon Electrode Insert</w:t>
      </w:r>
      <w:r w:rsidRPr="002B2DD7">
        <w:rPr>
          <w:rFonts w:ascii="Arial" w:hAnsi="Arial" w:cs="Arial"/>
          <w:color w:val="000000"/>
          <w:spacing w:val="-3"/>
          <w:sz w:val="18"/>
          <w:szCs w:val="18"/>
        </w:rPr>
        <w:tab/>
        <w:t>2576</w:t>
      </w:r>
    </w:p>
    <w:p w14:paraId="4F9ABD75"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A22 Short Electrode Insert</w:t>
      </w:r>
      <w:r w:rsidRPr="002B2DD7">
        <w:rPr>
          <w:rFonts w:ascii="Arial" w:hAnsi="Arial" w:cs="Arial"/>
          <w:color w:val="000000"/>
          <w:spacing w:val="-3"/>
          <w:sz w:val="18"/>
          <w:szCs w:val="18"/>
        </w:rPr>
        <w:tab/>
        <w:t>2577</w:t>
      </w:r>
    </w:p>
    <w:p w14:paraId="7E632304" w14:textId="77777777" w:rsidR="002B2DD7" w:rsidRPr="002B2DD7" w:rsidRDefault="002B2DD7" w:rsidP="002B2DD7">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SPIFE Nexus Violet</w:t>
      </w:r>
      <w:r w:rsidRPr="002B2DD7">
        <w:rPr>
          <w:rFonts w:ascii="Arial" w:hAnsi="Arial" w:cs="Arial"/>
          <w:color w:val="000000"/>
          <w:spacing w:val="-3"/>
          <w:sz w:val="18"/>
          <w:szCs w:val="18"/>
        </w:rPr>
        <w:tab/>
      </w:r>
      <w:r w:rsidRPr="002B2DD7">
        <w:rPr>
          <w:rFonts w:ascii="Arial" w:hAnsi="Arial" w:cs="Arial"/>
          <w:color w:val="000000"/>
          <w:spacing w:val="-3"/>
          <w:sz w:val="18"/>
          <w:szCs w:val="18"/>
        </w:rPr>
        <w:tab/>
        <w:t>552683</w:t>
      </w:r>
    </w:p>
    <w:p w14:paraId="3C4357C6"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Materials needed but not provided:</w:t>
      </w:r>
    </w:p>
    <w:p w14:paraId="7E8B2290"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0.85% saline</w:t>
      </w:r>
    </w:p>
    <w:p w14:paraId="3AB9F423"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 xml:space="preserve">STEP-BY-STEP METHOD </w:t>
      </w:r>
    </w:p>
    <w:p w14:paraId="4B4EDD8B" w14:textId="0D4DBCB2"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ab/>
        <w:t xml:space="preserve">I. </w:t>
      </w:r>
      <w:r w:rsidRPr="002B2DD7">
        <w:rPr>
          <w:rFonts w:ascii="Arial" w:hAnsi="Arial" w:cs="Arial"/>
          <w:b/>
          <w:bCs/>
          <w:color w:val="000000"/>
          <w:spacing w:val="-3"/>
          <w:sz w:val="18"/>
          <w:szCs w:val="18"/>
        </w:rPr>
        <w:tab/>
        <w:t xml:space="preserve">Sample Preparation </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br/>
      </w:r>
      <w:r w:rsidRPr="002B2DD7">
        <w:rPr>
          <w:rFonts w:ascii="Arial" w:hAnsi="Arial" w:cs="Arial"/>
          <w:b/>
          <w:bCs/>
          <w:color w:val="000000"/>
          <w:spacing w:val="-5"/>
          <w:sz w:val="18"/>
          <w:szCs w:val="18"/>
        </w:rPr>
        <w:t>Serum</w:t>
      </w:r>
      <w:r w:rsidRPr="002B2DD7">
        <w:rPr>
          <w:rFonts w:ascii="Arial" w:hAnsi="Arial" w:cs="Arial"/>
          <w:color w:val="000000"/>
          <w:spacing w:val="-5"/>
          <w:sz w:val="18"/>
          <w:szCs w:val="18"/>
        </w:rPr>
        <w:t>: No specimen preparation is necessary for serum. Serum samples will be automatically pipetted into sample cups at a volume of 80 µL per sample.</w:t>
      </w:r>
      <w:r w:rsidRPr="002B2DD7">
        <w:rPr>
          <w:rFonts w:ascii="Arial" w:hAnsi="Arial" w:cs="Arial"/>
          <w:color w:val="000000"/>
          <w:spacing w:val="-5"/>
          <w:sz w:val="18"/>
          <w:szCs w:val="18"/>
        </w:rPr>
        <w:tab/>
      </w:r>
      <w:r w:rsidRPr="002B2DD7">
        <w:rPr>
          <w:rFonts w:ascii="Arial" w:hAnsi="Arial" w:cs="Arial"/>
          <w:color w:val="000000"/>
          <w:spacing w:val="-5"/>
          <w:sz w:val="18"/>
          <w:szCs w:val="18"/>
        </w:rPr>
        <w:br/>
      </w:r>
      <w:r w:rsidRPr="002B2DD7">
        <w:rPr>
          <w:rFonts w:ascii="Arial" w:hAnsi="Arial" w:cs="Arial"/>
          <w:b/>
          <w:bCs/>
          <w:color w:val="000000"/>
          <w:spacing w:val="-5"/>
          <w:sz w:val="18"/>
          <w:szCs w:val="18"/>
        </w:rPr>
        <w:t>Urine:</w:t>
      </w:r>
      <w:r w:rsidRPr="002B2DD7">
        <w:rPr>
          <w:rFonts w:ascii="Arial" w:hAnsi="Arial" w:cs="Arial"/>
          <w:color w:val="000000"/>
          <w:spacing w:val="-5"/>
          <w:sz w:val="18"/>
          <w:szCs w:val="18"/>
        </w:rPr>
        <w:t xml:space="preserve"> </w:t>
      </w:r>
      <w:r w:rsidRPr="002B2DD7">
        <w:rPr>
          <w:rFonts w:ascii="Arial" w:hAnsi="Arial" w:cs="Arial"/>
          <w:color w:val="000000"/>
          <w:spacing w:val="-5"/>
          <w:w w:val="90"/>
          <w:sz w:val="18"/>
          <w:szCs w:val="18"/>
        </w:rPr>
        <w:t>Due to differences in the running parameters, urine specimens cannot be processed on the SPIFE Nexus in combination with serum samples unless urine specimens are applied using template application. The Split Beta SPE procedure in combination with template urine application is available on the Helena website (https://www.helena.com/procedures.htm).</w:t>
      </w:r>
      <w:r w:rsidRPr="002B2DD7">
        <w:rPr>
          <w:rFonts w:ascii="Arial" w:hAnsi="Arial" w:cs="Arial"/>
          <w:color w:val="000000"/>
          <w:spacing w:val="-5"/>
          <w:sz w:val="18"/>
          <w:szCs w:val="18"/>
        </w:rPr>
        <w:tab/>
      </w:r>
      <w:r w:rsidRPr="002B2DD7">
        <w:rPr>
          <w:rFonts w:ascii="Arial" w:hAnsi="Arial" w:cs="Arial"/>
          <w:color w:val="000000"/>
          <w:spacing w:val="-5"/>
          <w:sz w:val="18"/>
          <w:szCs w:val="18"/>
        </w:rPr>
        <w:br/>
      </w:r>
      <w:r w:rsidRPr="002B2DD7">
        <w:rPr>
          <w:rFonts w:ascii="Arial" w:hAnsi="Arial" w:cs="Arial"/>
          <w:color w:val="000000"/>
          <w:spacing w:val="-5"/>
          <w:w w:val="90"/>
          <w:sz w:val="18"/>
          <w:szCs w:val="18"/>
        </w:rPr>
        <w:t xml:space="preserve">Urine samples should be concentrated if a higher sensitivity is desired. A total protein range of 2,000-3,000 mg/dL is generally sufficient for optimum sensitivity. The sensitivity is approximately 7 mg/dL for a single band. Shake samples to homogenize. Centrifuge desired volume at 2000 x g for 5 minutes. </w:t>
      </w:r>
      <w:r w:rsidRPr="002B2DD7">
        <w:rPr>
          <w:rFonts w:ascii="Arial" w:hAnsi="Arial" w:cs="Arial"/>
          <w:color w:val="000000"/>
          <w:spacing w:val="-5"/>
          <w:w w:val="90"/>
          <w:sz w:val="18"/>
          <w:szCs w:val="18"/>
        </w:rPr>
        <w:lastRenderedPageBreak/>
        <w:t>Remove supernatant and concentrate to lab specifications per laboratory protocol.</w:t>
      </w:r>
      <w:r w:rsidRPr="002B2DD7">
        <w:rPr>
          <w:rFonts w:ascii="Arial" w:hAnsi="Arial" w:cs="Arial"/>
          <w:color w:val="000000"/>
          <w:spacing w:val="-5"/>
          <w:sz w:val="18"/>
          <w:szCs w:val="18"/>
        </w:rPr>
        <w:t xml:space="preserve"> Urine samples or concentrations will be automatically pipetted into sample cups at a volume of 80 µL per sample. For urine specimen volumes measuring less than 500 µL, contact Technical Service for instructions on manual loading.</w:t>
      </w:r>
    </w:p>
    <w:p w14:paraId="2B95FDEE" w14:textId="77777777"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ab/>
        <w:t xml:space="preserve">II. </w:t>
      </w:r>
      <w:r w:rsidRPr="002B2DD7">
        <w:rPr>
          <w:rFonts w:ascii="Arial" w:hAnsi="Arial" w:cs="Arial"/>
          <w:b/>
          <w:bCs/>
          <w:color w:val="000000"/>
          <w:spacing w:val="-3"/>
          <w:sz w:val="18"/>
          <w:szCs w:val="18"/>
        </w:rPr>
        <w:tab/>
        <w:t>SPIFE Nexus Preparation</w:t>
      </w:r>
      <w:r w:rsidRPr="002B2DD7">
        <w:rPr>
          <w:rFonts w:ascii="Arial" w:hAnsi="Arial" w:cs="Arial"/>
          <w:color w:val="000000"/>
          <w:spacing w:val="-3"/>
          <w:sz w:val="18"/>
          <w:szCs w:val="18"/>
        </w:rPr>
        <w:t xml:space="preserve"> </w:t>
      </w:r>
    </w:p>
    <w:p w14:paraId="343B6489" w14:textId="7A4CB02F"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5"/>
          <w:sz w:val="18"/>
          <w:szCs w:val="18"/>
        </w:rPr>
        <w:t xml:space="preserve">A. Fill designated bottles with 0.85% saline, deionized water, and </w:t>
      </w:r>
      <w:proofErr w:type="spellStart"/>
      <w:r w:rsidRPr="002B2DD7">
        <w:rPr>
          <w:rFonts w:ascii="Arial" w:hAnsi="Arial" w:cs="Arial"/>
          <w:color w:val="000000"/>
          <w:spacing w:val="-5"/>
          <w:sz w:val="18"/>
          <w:szCs w:val="18"/>
        </w:rPr>
        <w:t>destain</w:t>
      </w:r>
      <w:proofErr w:type="spellEnd"/>
      <w:r w:rsidRPr="002B2DD7">
        <w:rPr>
          <w:rFonts w:ascii="Arial" w:hAnsi="Arial" w:cs="Arial"/>
          <w:color w:val="000000"/>
          <w:spacing w:val="-5"/>
          <w:sz w:val="18"/>
          <w:szCs w:val="18"/>
        </w:rPr>
        <w:t>.</w:t>
      </w:r>
      <w:r w:rsidRPr="002B2DD7">
        <w:rPr>
          <w:rFonts w:ascii="Arial" w:hAnsi="Arial" w:cs="Arial"/>
          <w:color w:val="000000"/>
          <w:spacing w:val="-3"/>
          <w:sz w:val="18"/>
          <w:szCs w:val="18"/>
        </w:rPr>
        <w:t xml:space="preserve"> </w:t>
      </w:r>
    </w:p>
    <w:p w14:paraId="658CA3C6" w14:textId="6B0FEBC4"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6"/>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6"/>
          <w:sz w:val="18"/>
          <w:szCs w:val="18"/>
        </w:rPr>
        <w:t>B. Turn on the SPIFE Nexus. Click on the SPIFE Nexus icon to initialize.</w:t>
      </w:r>
    </w:p>
    <w:p w14:paraId="5F73D21F" w14:textId="5CD49F3C"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C. </w:t>
      </w:r>
      <w:r w:rsidRPr="002B2DD7">
        <w:rPr>
          <w:rFonts w:ascii="Arial" w:hAnsi="Arial" w:cs="Arial"/>
          <w:color w:val="000000"/>
          <w:spacing w:val="-5"/>
          <w:sz w:val="18"/>
          <w:szCs w:val="18"/>
        </w:rPr>
        <w:t>If this is the first test of the day, prime the instrument according to the instructions in the SPIFE Nexus Operator’s Manual.</w:t>
      </w:r>
    </w:p>
    <w:p w14:paraId="7950DE61" w14:textId="63EDA353"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t>D.</w:t>
      </w:r>
      <w:r w:rsidRPr="002B2DD7">
        <w:rPr>
          <w:rFonts w:ascii="Arial" w:hAnsi="Arial" w:cs="Arial"/>
          <w:color w:val="000000"/>
          <w:spacing w:val="-3"/>
          <w:sz w:val="18"/>
          <w:szCs w:val="18"/>
        </w:rPr>
        <w:tab/>
        <w:t xml:space="preserve"> Load the correct number of uncapped patient sample test tubes into test tube racks and place racks within the tube transport area.</w:t>
      </w:r>
    </w:p>
    <w:p w14:paraId="2E701764" w14:textId="2E9FA1E3"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t>E. Open the main door and prepare the items onboard the instrument.</w:t>
      </w:r>
    </w:p>
    <w:p w14:paraId="1D3E1D63" w14:textId="3D12492C"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1. Ensure that the following items are in their respective onboard storage locations: </w:t>
      </w:r>
      <w:r w:rsidRPr="002B2DD7">
        <w:rPr>
          <w:rFonts w:ascii="Arial" w:hAnsi="Arial" w:cs="Arial"/>
          <w:b/>
          <w:bCs/>
          <w:color w:val="000000"/>
          <w:spacing w:val="-3"/>
          <w:sz w:val="18"/>
          <w:szCs w:val="18"/>
        </w:rPr>
        <w:t>Platen Cover</w:t>
      </w:r>
      <w:r w:rsidRPr="002B2DD7">
        <w:rPr>
          <w:rFonts w:ascii="Arial" w:hAnsi="Arial" w:cs="Arial"/>
          <w:color w:val="000000"/>
          <w:spacing w:val="-3"/>
          <w:sz w:val="18"/>
          <w:szCs w:val="18"/>
        </w:rPr>
        <w:t xml:space="preserve"> with the Electrode Insert and </w:t>
      </w:r>
      <w:r w:rsidRPr="002B2DD7">
        <w:rPr>
          <w:rFonts w:ascii="Arial" w:hAnsi="Arial" w:cs="Arial"/>
          <w:b/>
          <w:bCs/>
          <w:color w:val="000000"/>
          <w:spacing w:val="-3"/>
          <w:sz w:val="18"/>
          <w:szCs w:val="18"/>
        </w:rPr>
        <w:t>Dryer Cover</w:t>
      </w:r>
      <w:r w:rsidRPr="002B2DD7">
        <w:rPr>
          <w:rFonts w:ascii="Arial" w:hAnsi="Arial" w:cs="Arial"/>
          <w:color w:val="000000"/>
          <w:spacing w:val="-3"/>
          <w:sz w:val="18"/>
          <w:szCs w:val="18"/>
        </w:rPr>
        <w:t xml:space="preserve"> with the red sticker toward the back of the instrument.  </w:t>
      </w:r>
    </w:p>
    <w:p w14:paraId="72FA326F" w14:textId="77777777"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2.</w:t>
      </w:r>
      <w:r w:rsidRPr="002B2DD7">
        <w:rPr>
          <w:rFonts w:ascii="Arial" w:hAnsi="Arial" w:cs="Arial"/>
          <w:b/>
          <w:bCs/>
          <w:color w:val="000000"/>
          <w:spacing w:val="-3"/>
          <w:sz w:val="18"/>
          <w:szCs w:val="18"/>
        </w:rPr>
        <w:t xml:space="preserve"> Sample Cup Tray</w:t>
      </w:r>
    </w:p>
    <w:p w14:paraId="036DB381" w14:textId="018DF04F"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a. </w:t>
      </w:r>
      <w:r w:rsidRPr="002B2DD7">
        <w:rPr>
          <w:rFonts w:ascii="Arial" w:hAnsi="Arial" w:cs="Arial"/>
          <w:color w:val="000000"/>
          <w:spacing w:val="-3"/>
          <w:sz w:val="18"/>
          <w:szCs w:val="18"/>
        </w:rPr>
        <w:tab/>
        <w:t xml:space="preserve">Prepare the sample cup tray with the appropriate disposable deep well sample cups. Slide the Disposable Sample Cups into the cup tray. Use only the top four rows for 80 or fewer samples, and all five rows for up to 100 samples.  </w:t>
      </w:r>
    </w:p>
    <w:p w14:paraId="228C13FD" w14:textId="77777777"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b. </w:t>
      </w:r>
      <w:r w:rsidRPr="002B2DD7">
        <w:rPr>
          <w:rFonts w:ascii="Arial" w:hAnsi="Arial" w:cs="Arial"/>
          <w:color w:val="000000"/>
          <w:spacing w:val="-3"/>
          <w:sz w:val="18"/>
          <w:szCs w:val="18"/>
        </w:rPr>
        <w:tab/>
        <w:t>Place the cup tray onto the sample tray platform.</w:t>
      </w:r>
    </w:p>
    <w:p w14:paraId="72E78642" w14:textId="77777777"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color w:val="000000"/>
          <w:spacing w:val="-3"/>
          <w:sz w:val="18"/>
          <w:szCs w:val="18"/>
        </w:rPr>
        <w:t>3.</w:t>
      </w:r>
      <w:r w:rsidRPr="002B2DD7">
        <w:rPr>
          <w:rFonts w:ascii="Arial" w:hAnsi="Arial" w:cs="Arial"/>
          <w:b/>
          <w:bCs/>
          <w:color w:val="000000"/>
          <w:spacing w:val="-3"/>
          <w:sz w:val="18"/>
          <w:szCs w:val="18"/>
        </w:rPr>
        <w:t xml:space="preserve"> Stain/Reagent Dispenser</w:t>
      </w:r>
    </w:p>
    <w:p w14:paraId="37167868" w14:textId="3D48B993"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a. </w:t>
      </w:r>
      <w:r w:rsidRPr="002B2DD7">
        <w:rPr>
          <w:rFonts w:ascii="Arial" w:hAnsi="Arial" w:cs="Arial"/>
          <w:color w:val="000000"/>
          <w:spacing w:val="-3"/>
          <w:sz w:val="18"/>
          <w:szCs w:val="18"/>
        </w:rPr>
        <w:tab/>
        <w:t xml:space="preserve">Fill three Stain Cups each with 700 µL of SPIFE Nexus Blue stain and place a Stain Cup in each slot of the Stain/Reagent Dispenser. </w:t>
      </w:r>
      <w:r w:rsidRPr="002B2DD7">
        <w:rPr>
          <w:rFonts w:ascii="Arial" w:hAnsi="Arial" w:cs="Arial"/>
          <w:b/>
          <w:bCs/>
          <w:color w:val="000000"/>
          <w:spacing w:val="-3"/>
          <w:sz w:val="18"/>
          <w:szCs w:val="18"/>
        </w:rPr>
        <w:t>NOTE: As an optional urine stain, SPIFE Nexus Violet may be substituted for SPIFE Nexus Blue.</w:t>
      </w:r>
      <w:r w:rsidRPr="002B2DD7">
        <w:rPr>
          <w:rFonts w:ascii="Arial" w:hAnsi="Arial" w:cs="Arial"/>
          <w:color w:val="000000"/>
          <w:spacing w:val="-3"/>
          <w:sz w:val="18"/>
          <w:szCs w:val="18"/>
        </w:rPr>
        <w:t xml:space="preserve"> </w:t>
      </w:r>
    </w:p>
    <w:p w14:paraId="7415ECF1" w14:textId="50785112"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b. Place a clean Reagent Roller bar between the hooks on the Stain/Reagent Dispenser.</w:t>
      </w:r>
    </w:p>
    <w:p w14:paraId="082FDE7A" w14:textId="77777777"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color w:val="000000"/>
          <w:spacing w:val="-3"/>
          <w:sz w:val="18"/>
          <w:szCs w:val="18"/>
        </w:rPr>
        <w:t>4.</w:t>
      </w:r>
      <w:r w:rsidRPr="002B2DD7">
        <w:rPr>
          <w:rFonts w:ascii="Arial" w:hAnsi="Arial" w:cs="Arial"/>
          <w:b/>
          <w:bCs/>
          <w:color w:val="000000"/>
          <w:spacing w:val="-3"/>
          <w:sz w:val="18"/>
          <w:szCs w:val="18"/>
        </w:rPr>
        <w:t xml:space="preserve"> Consumables Tray</w:t>
      </w:r>
    </w:p>
    <w:p w14:paraId="2F76AACA" w14:textId="6053E6C0"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a. </w:t>
      </w:r>
      <w:r w:rsidRPr="002B2DD7">
        <w:rPr>
          <w:rFonts w:ascii="Arial" w:hAnsi="Arial" w:cs="Arial"/>
          <w:color w:val="000000"/>
          <w:sz w:val="18"/>
          <w:szCs w:val="18"/>
        </w:rPr>
        <w:t>Slide the Consumables Tray forward from its home position.</w:t>
      </w:r>
    </w:p>
    <w:p w14:paraId="7682D142" w14:textId="77777777"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b. </w:t>
      </w:r>
      <w:r w:rsidRPr="002B2DD7">
        <w:rPr>
          <w:rFonts w:ascii="Arial" w:hAnsi="Arial" w:cs="Arial"/>
          <w:color w:val="000000"/>
          <w:spacing w:val="-3"/>
          <w:sz w:val="18"/>
          <w:szCs w:val="18"/>
        </w:rPr>
        <w:tab/>
        <w:t>Prepare the Applicator Holder</w:t>
      </w:r>
    </w:p>
    <w:p w14:paraId="13A2D4EE" w14:textId="0DC83B9B"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(1) Place a Split Beta (100) Applicator Template on top of the Applicator Holder. Place Applicator Blades in the designated slots corresponding to the sample cups loaded within the sample tray. </w:t>
      </w:r>
      <w:r w:rsidRPr="002B2DD7">
        <w:rPr>
          <w:rFonts w:ascii="Arial" w:hAnsi="Arial" w:cs="Arial"/>
          <w:b/>
          <w:bCs/>
          <w:color w:val="000000"/>
          <w:spacing w:val="-3"/>
          <w:sz w:val="18"/>
          <w:szCs w:val="18"/>
        </w:rPr>
        <w:t>NOTE: The Applicator Blades will only fit into the slots in the Applicator Holder one way; do not try to force the Applicator Blades into the slots.</w:t>
      </w:r>
      <w:r w:rsidRPr="002B2DD7">
        <w:rPr>
          <w:rFonts w:ascii="Arial" w:hAnsi="Arial" w:cs="Arial"/>
          <w:color w:val="000000"/>
          <w:spacing w:val="-3"/>
          <w:sz w:val="18"/>
          <w:szCs w:val="18"/>
        </w:rPr>
        <w:t xml:space="preserve">    </w:t>
      </w:r>
    </w:p>
    <w:p w14:paraId="68CF5CFD" w14:textId="55A35358"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(2) Place the Applicator Blade Weights on top of the Applicator Blades with the thick side facing the front of the instrument.</w:t>
      </w:r>
    </w:p>
    <w:p w14:paraId="762F4E64" w14:textId="68F69A0D"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c. Slide the Consumables Tray into position in the back of the instrument. </w:t>
      </w:r>
      <w:r w:rsidRPr="002B2DD7">
        <w:rPr>
          <w:rFonts w:ascii="Arial" w:hAnsi="Arial" w:cs="Arial"/>
          <w:b/>
          <w:bCs/>
          <w:color w:val="000000"/>
          <w:spacing w:val="-3"/>
          <w:w w:val="90"/>
          <w:sz w:val="18"/>
          <w:szCs w:val="18"/>
        </w:rPr>
        <w:t>Note: Do not store extra components or consumables in the Consumables Tray during a test.</w:t>
      </w:r>
    </w:p>
    <w:p w14:paraId="0FDF5588" w14:textId="77777777"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r>
      <w:r w:rsidRPr="002B2DD7">
        <w:rPr>
          <w:rFonts w:ascii="Arial" w:hAnsi="Arial" w:cs="Arial"/>
          <w:color w:val="000000"/>
          <w:spacing w:val="-3"/>
          <w:sz w:val="18"/>
          <w:szCs w:val="18"/>
        </w:rPr>
        <w:t>5.</w:t>
      </w:r>
      <w:r w:rsidRPr="002B2DD7">
        <w:rPr>
          <w:rFonts w:ascii="Arial" w:hAnsi="Arial" w:cs="Arial"/>
          <w:b/>
          <w:bCs/>
          <w:color w:val="000000"/>
          <w:spacing w:val="-3"/>
          <w:sz w:val="18"/>
          <w:szCs w:val="18"/>
        </w:rPr>
        <w:tab/>
        <w:t xml:space="preserve"> Gel Cassette</w:t>
      </w:r>
    </w:p>
    <w:p w14:paraId="05E0F7FC" w14:textId="039FF639"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a. Place the bottom half of the Gel Cassette on the electrophoresis platen with the two pins lined up on the left side.</w:t>
      </w:r>
    </w:p>
    <w:p w14:paraId="22962D28" w14:textId="77777777"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b. </w:t>
      </w:r>
      <w:r w:rsidRPr="002B2DD7">
        <w:rPr>
          <w:rFonts w:ascii="Arial" w:hAnsi="Arial" w:cs="Arial"/>
          <w:color w:val="000000"/>
          <w:spacing w:val="-3"/>
          <w:sz w:val="18"/>
          <w:szCs w:val="18"/>
        </w:rPr>
        <w:tab/>
        <w:t>Dispense 2 mL of REP Prep on the platen.</w:t>
      </w:r>
    </w:p>
    <w:p w14:paraId="764F0A41" w14:textId="2A098F5D"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c. Remove the gel from the protective packaging and discard the overlay. </w:t>
      </w:r>
    </w:p>
    <w:p w14:paraId="51495EB1" w14:textId="4BCDBE0C"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d.</w:t>
      </w:r>
      <w:r w:rsidRPr="002B2DD7">
        <w:rPr>
          <w:rFonts w:ascii="Arial" w:hAnsi="Arial" w:cs="Arial"/>
          <w:color w:val="000000"/>
          <w:spacing w:val="-3"/>
          <w:sz w:val="18"/>
          <w:szCs w:val="18"/>
        </w:rPr>
        <w:tab/>
        <w:t>Using a SPIFE Blotter C, gently blot the entire gel. Discard the blotter.</w:t>
      </w:r>
    </w:p>
    <w:p w14:paraId="06C2888B" w14:textId="4939A26C"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e.</w:t>
      </w:r>
      <w:r w:rsidRPr="002B2DD7">
        <w:rPr>
          <w:rFonts w:ascii="Arial" w:hAnsi="Arial" w:cs="Arial"/>
          <w:color w:val="000000"/>
          <w:spacing w:val="-3"/>
          <w:sz w:val="18"/>
          <w:szCs w:val="18"/>
        </w:rPr>
        <w:tab/>
        <w:t xml:space="preserve">Place the left edge of the gel into the bottom of the cassette fitting the round hole over the upper pin and the obround hole over the lower pin. Gently lay the gel down over the REP Prep making sure no bubbles remain under the gel. </w:t>
      </w:r>
    </w:p>
    <w:p w14:paraId="6FFCE09C" w14:textId="4318DE94"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f. </w:t>
      </w:r>
      <w:r w:rsidRPr="002B2DD7">
        <w:rPr>
          <w:rFonts w:ascii="Arial" w:hAnsi="Arial" w:cs="Arial"/>
          <w:color w:val="000000"/>
          <w:spacing w:val="-3"/>
          <w:sz w:val="18"/>
          <w:szCs w:val="18"/>
        </w:rPr>
        <w:tab/>
        <w:t xml:space="preserve">Place the top half of the Gel Cassette over the gel. Make sure the 2D barcode is located in the upper right corner of the cassette.  </w:t>
      </w:r>
    </w:p>
    <w:p w14:paraId="5341AFA4" w14:textId="5DD6B6CE"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6"/>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color w:val="000000"/>
          <w:spacing w:val="-3"/>
          <w:sz w:val="18"/>
          <w:szCs w:val="18"/>
        </w:rPr>
        <w:tab/>
        <w:t xml:space="preserve">g. </w:t>
      </w:r>
      <w:r w:rsidRPr="002B2DD7">
        <w:rPr>
          <w:rFonts w:ascii="Arial" w:hAnsi="Arial" w:cs="Arial"/>
          <w:color w:val="000000"/>
          <w:spacing w:val="-6"/>
          <w:sz w:val="18"/>
          <w:szCs w:val="18"/>
        </w:rPr>
        <w:t xml:space="preserve">Place a Positive ID Barcode Label on the upper </w:t>
      </w:r>
      <w:proofErr w:type="gramStart"/>
      <w:r w:rsidRPr="002B2DD7">
        <w:rPr>
          <w:rFonts w:ascii="Arial" w:hAnsi="Arial" w:cs="Arial"/>
          <w:color w:val="000000"/>
          <w:spacing w:val="-6"/>
          <w:sz w:val="18"/>
          <w:szCs w:val="18"/>
        </w:rPr>
        <w:t>right hand</w:t>
      </w:r>
      <w:proofErr w:type="gramEnd"/>
      <w:r w:rsidRPr="002B2DD7">
        <w:rPr>
          <w:rFonts w:ascii="Arial" w:hAnsi="Arial" w:cs="Arial"/>
          <w:color w:val="000000"/>
          <w:spacing w:val="-6"/>
          <w:sz w:val="18"/>
          <w:szCs w:val="18"/>
        </w:rPr>
        <w:t xml:space="preserve"> side of the gel backing. Select the barcode that starts with the letter “G”.</w:t>
      </w:r>
    </w:p>
    <w:p w14:paraId="19FC00DF" w14:textId="77777777" w:rsidR="002B2DD7" w:rsidRPr="002B2DD7" w:rsidRDefault="002B2DD7" w:rsidP="002B2DD7">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t>F. Close the main door of the instrument.</w:t>
      </w:r>
    </w:p>
    <w:p w14:paraId="73BA19C4" w14:textId="112FDC13" w:rsidR="002B2DD7" w:rsidRPr="002B2DD7" w:rsidRDefault="002B2DD7" w:rsidP="002B2DD7">
      <w:pPr>
        <w:tabs>
          <w:tab w:val="right" w:pos="180"/>
          <w:tab w:val="left" w:pos="22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ab/>
      </w:r>
      <w:r w:rsidRPr="002B2DD7">
        <w:rPr>
          <w:rFonts w:ascii="Arial" w:hAnsi="Arial" w:cs="Arial"/>
          <w:b/>
          <w:bCs/>
          <w:color w:val="000000"/>
          <w:spacing w:val="-3"/>
          <w:sz w:val="18"/>
          <w:szCs w:val="18"/>
        </w:rPr>
        <w:tab/>
        <w:t>III. Automated Gel Electrophoresis</w:t>
      </w:r>
    </w:p>
    <w:p w14:paraId="457B5B3B" w14:textId="741A7335" w:rsidR="002B2DD7" w:rsidRPr="002B2DD7" w:rsidRDefault="002B2DD7" w:rsidP="002B2DD7">
      <w:pPr>
        <w:tabs>
          <w:tab w:val="left" w:pos="46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 xml:space="preserve">A. Click the Start button on the menu bar. Select the </w:t>
      </w:r>
      <w:r w:rsidRPr="002B2DD7">
        <w:rPr>
          <w:rFonts w:ascii="Arial" w:hAnsi="Arial" w:cs="Arial"/>
          <w:b/>
          <w:bCs/>
          <w:color w:val="000000"/>
          <w:spacing w:val="-3"/>
          <w:sz w:val="18"/>
          <w:szCs w:val="18"/>
        </w:rPr>
        <w:t>SPIFE Split Beta Serum Proteins 100 (Acid Blue)</w:t>
      </w:r>
      <w:r w:rsidRPr="002B2DD7">
        <w:rPr>
          <w:rFonts w:ascii="Arial" w:hAnsi="Arial" w:cs="Arial"/>
          <w:color w:val="000000"/>
          <w:spacing w:val="-3"/>
          <w:sz w:val="18"/>
          <w:szCs w:val="18"/>
        </w:rPr>
        <w:t xml:space="preserve">, </w:t>
      </w:r>
      <w:r w:rsidRPr="002B2DD7">
        <w:rPr>
          <w:rFonts w:ascii="Arial" w:hAnsi="Arial" w:cs="Arial"/>
          <w:b/>
          <w:bCs/>
          <w:color w:val="000000"/>
          <w:spacing w:val="-3"/>
          <w:sz w:val="18"/>
          <w:szCs w:val="18"/>
        </w:rPr>
        <w:t>SPIFE Urine Proteins 100 (Acid Blue)</w:t>
      </w:r>
      <w:r w:rsidRPr="002B2DD7">
        <w:rPr>
          <w:rFonts w:ascii="Arial" w:hAnsi="Arial" w:cs="Arial"/>
          <w:color w:val="000000"/>
          <w:spacing w:val="-3"/>
          <w:sz w:val="18"/>
          <w:szCs w:val="18"/>
        </w:rPr>
        <w:t xml:space="preserve"> or </w:t>
      </w:r>
      <w:r w:rsidRPr="002B2DD7">
        <w:rPr>
          <w:rFonts w:ascii="Arial" w:hAnsi="Arial" w:cs="Arial"/>
          <w:b/>
          <w:bCs/>
          <w:color w:val="000000"/>
          <w:spacing w:val="-3"/>
          <w:sz w:val="18"/>
          <w:szCs w:val="18"/>
        </w:rPr>
        <w:t xml:space="preserve">SPIFE Urine Proteins 100 (Acid Violet) </w:t>
      </w:r>
      <w:r w:rsidRPr="002B2DD7">
        <w:rPr>
          <w:rFonts w:ascii="Arial" w:hAnsi="Arial" w:cs="Arial"/>
          <w:color w:val="000000"/>
          <w:spacing w:val="-3"/>
          <w:sz w:val="18"/>
          <w:szCs w:val="18"/>
        </w:rPr>
        <w:t xml:space="preserve">test name from the </w:t>
      </w:r>
      <w:proofErr w:type="gramStart"/>
      <w:r w:rsidRPr="002B2DD7">
        <w:rPr>
          <w:rFonts w:ascii="Arial" w:hAnsi="Arial" w:cs="Arial"/>
          <w:color w:val="000000"/>
          <w:spacing w:val="-3"/>
          <w:sz w:val="18"/>
          <w:szCs w:val="18"/>
        </w:rPr>
        <w:t>drop down</w:t>
      </w:r>
      <w:proofErr w:type="gramEnd"/>
      <w:r w:rsidRPr="002B2DD7">
        <w:rPr>
          <w:rFonts w:ascii="Arial" w:hAnsi="Arial" w:cs="Arial"/>
          <w:color w:val="000000"/>
          <w:spacing w:val="-3"/>
          <w:sz w:val="18"/>
          <w:szCs w:val="18"/>
        </w:rPr>
        <w:t xml:space="preserve"> menu. Ensure the toggles for all Run Processes are set to “Yes” and click the Start Run button. The analyzer will load samples when appropriate, apply samples, electrophorese, stain, </w:t>
      </w:r>
      <w:proofErr w:type="spellStart"/>
      <w:r w:rsidRPr="002B2DD7">
        <w:rPr>
          <w:rFonts w:ascii="Arial" w:hAnsi="Arial" w:cs="Arial"/>
          <w:color w:val="000000"/>
          <w:spacing w:val="-3"/>
          <w:sz w:val="18"/>
          <w:szCs w:val="18"/>
        </w:rPr>
        <w:t>destain</w:t>
      </w:r>
      <w:proofErr w:type="spellEnd"/>
      <w:r w:rsidRPr="002B2DD7">
        <w:rPr>
          <w:rFonts w:ascii="Arial" w:hAnsi="Arial" w:cs="Arial"/>
          <w:color w:val="000000"/>
          <w:spacing w:val="-3"/>
          <w:sz w:val="18"/>
          <w:szCs w:val="18"/>
        </w:rPr>
        <w:t>, dry and scan the gel. For details of Automated Gel Electrophoresis parameters, contact Technical Services.</w:t>
      </w:r>
    </w:p>
    <w:p w14:paraId="2867B6FC" w14:textId="35C29BD6" w:rsidR="002B2DD7" w:rsidRPr="002B2DD7" w:rsidRDefault="002B2DD7" w:rsidP="002B2DD7">
      <w:pPr>
        <w:tabs>
          <w:tab w:val="left" w:pos="46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 xml:space="preserve">B. After scanning, the Gel Cassette with the finished gel will be located in the scanner port on the front side of the instrument. If gel storage is required, remove and discard the two gel blocks. </w:t>
      </w:r>
    </w:p>
    <w:p w14:paraId="2DE39F24" w14:textId="05E123A8" w:rsidR="002B2DD7" w:rsidRPr="002B2DD7" w:rsidRDefault="002B2DD7" w:rsidP="002B2DD7">
      <w:pPr>
        <w:tabs>
          <w:tab w:val="left" w:pos="46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 xml:space="preserve">C. After every test: discard the used blotters, Applicator Blades, Stain Cups and sample cups as biohazardous waste.  Clean any residual stain from the electrophoresis platen, Gel Cassette and the Reagent Roller bar.  For daily, weekly, and monthly maintenance, reference the SPIFE Nexus Operator’s Manual.    </w:t>
      </w:r>
    </w:p>
    <w:p w14:paraId="105CE765" w14:textId="77777777" w:rsidR="002B2DD7" w:rsidRPr="002B2DD7" w:rsidRDefault="002B2DD7" w:rsidP="002B2DD7">
      <w:pPr>
        <w:tabs>
          <w:tab w:val="left" w:pos="220"/>
        </w:tabs>
        <w:autoSpaceDE w:val="0"/>
        <w:autoSpaceDN w:val="0"/>
        <w:adjustRightInd w:val="0"/>
        <w:spacing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Evaluation of the Protein Bands</w:t>
      </w:r>
    </w:p>
    <w:p w14:paraId="5725D3D3" w14:textId="77777777" w:rsidR="002B2DD7" w:rsidRPr="002B2DD7" w:rsidRDefault="002B2DD7" w:rsidP="002B2DD7">
      <w:pPr>
        <w:tabs>
          <w:tab w:val="left" w:pos="22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Quantitative Evaluation of Serum:</w:t>
      </w:r>
      <w:r w:rsidRPr="002B2DD7">
        <w:rPr>
          <w:rFonts w:ascii="Arial" w:hAnsi="Arial" w:cs="Arial"/>
          <w:color w:val="000000"/>
          <w:spacing w:val="-3"/>
          <w:sz w:val="18"/>
          <w:szCs w:val="18"/>
        </w:rPr>
        <w:t xml:space="preserve"> The SPIFE Nexus Split Beta SPE Gel will be automatically scanned. An aperture size of 5 with the acid blue setting is recommended. Refer to the </w:t>
      </w:r>
      <w:proofErr w:type="spellStart"/>
      <w:r w:rsidRPr="002B2DD7">
        <w:rPr>
          <w:rFonts w:ascii="Arial" w:hAnsi="Arial" w:cs="Arial"/>
          <w:color w:val="000000"/>
          <w:spacing w:val="-3"/>
          <w:sz w:val="18"/>
          <w:szCs w:val="18"/>
        </w:rPr>
        <w:t>QuickScan</w:t>
      </w:r>
      <w:proofErr w:type="spellEnd"/>
      <w:r w:rsidRPr="002B2DD7">
        <w:rPr>
          <w:rFonts w:ascii="Arial" w:hAnsi="Arial" w:cs="Arial"/>
          <w:color w:val="000000"/>
          <w:spacing w:val="-3"/>
          <w:sz w:val="18"/>
          <w:szCs w:val="18"/>
        </w:rPr>
        <w:t xml:space="preserve"> Touch Plus Operator’s Manual for scanning parameters.</w:t>
      </w:r>
    </w:p>
    <w:p w14:paraId="613C2017" w14:textId="77777777" w:rsidR="002B2DD7" w:rsidRPr="002B2DD7" w:rsidRDefault="002B2DD7" w:rsidP="002B2DD7">
      <w:pPr>
        <w:tabs>
          <w:tab w:val="left" w:pos="22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Qualitative Evaluation of Urine:</w:t>
      </w:r>
      <w:r w:rsidRPr="002B2DD7">
        <w:rPr>
          <w:rFonts w:ascii="Arial" w:hAnsi="Arial" w:cs="Arial"/>
          <w:color w:val="000000"/>
          <w:spacing w:val="-3"/>
          <w:sz w:val="18"/>
          <w:szCs w:val="18"/>
        </w:rPr>
        <w:t xml:space="preserve"> The urine samples run on the SPIFE Nexus Split Beta SPE Gel can only be visually inspected for the presence of the bands.</w:t>
      </w:r>
    </w:p>
    <w:p w14:paraId="5AA7F569"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Stability of End Product:</w:t>
      </w:r>
      <w:r w:rsidRPr="002B2DD7">
        <w:rPr>
          <w:rFonts w:ascii="Arial" w:hAnsi="Arial" w:cs="Arial"/>
          <w:color w:val="000000"/>
          <w:spacing w:val="-3"/>
          <w:sz w:val="18"/>
          <w:szCs w:val="18"/>
        </w:rPr>
        <w:t xml:space="preserve"> The completed, dried SPIFE Split Beta SPE Gel is stable for an indefinite period of time.</w:t>
      </w:r>
    </w:p>
    <w:p w14:paraId="787E9BED"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lastRenderedPageBreak/>
        <w:t>Quality Control:</w:t>
      </w:r>
      <w:r w:rsidRPr="002B2DD7">
        <w:rPr>
          <w:rFonts w:ascii="Arial" w:hAnsi="Arial" w:cs="Arial"/>
          <w:color w:val="000000"/>
          <w:spacing w:val="-3"/>
          <w:sz w:val="18"/>
          <w:szCs w:val="18"/>
        </w:rPr>
        <w:t xml:space="preserve"> SPE Normal Control (Cat. No. 3424) and SPE Abnormal Control (Cat. No. 3425) may be used to verify all phases of the procedure and should be used on each gel run. If desired, a control or patient sample may be diluted 1:7 with 0.85% saline (1 part sample + 6 parts saline) and run with urines for qualitative comparison. Refer to the package insert provided with the control for assay values.</w:t>
      </w:r>
    </w:p>
    <w:p w14:paraId="2C30CAAF"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REFERENCE VALUES</w:t>
      </w:r>
    </w:p>
    <w:p w14:paraId="66DC7184"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The reference ranges presented were established with the Split Beta SPE System on 40 normal specimens using the SPIFE Nexus. These values are presented as a guideline.</w:t>
      </w:r>
    </w:p>
    <w:p w14:paraId="31FBBBE8" w14:textId="77777777" w:rsidR="002B2DD7" w:rsidRPr="002B2DD7" w:rsidRDefault="002B2DD7" w:rsidP="002B2DD7">
      <w:pPr>
        <w:tabs>
          <w:tab w:val="left" w:pos="740"/>
          <w:tab w:val="center" w:pos="3440"/>
        </w:tabs>
        <w:autoSpaceDE w:val="0"/>
        <w:autoSpaceDN w:val="0"/>
        <w:adjustRightInd w:val="0"/>
        <w:spacing w:line="288" w:lineRule="auto"/>
        <w:jc w:val="both"/>
        <w:textAlignment w:val="center"/>
        <w:rPr>
          <w:rFonts w:ascii="Arial" w:hAnsi="Arial" w:cs="Arial"/>
          <w:b/>
          <w:bCs/>
          <w:color w:val="000000"/>
          <w:spacing w:val="-3"/>
          <w:sz w:val="18"/>
          <w:szCs w:val="18"/>
        </w:rPr>
      </w:pPr>
      <w:r w:rsidRPr="002B2DD7">
        <w:rPr>
          <w:rFonts w:ascii="Arial" w:hAnsi="Arial" w:cs="Arial"/>
          <w:color w:val="000000"/>
          <w:spacing w:val="-3"/>
          <w:sz w:val="18"/>
          <w:szCs w:val="18"/>
        </w:rPr>
        <w:tab/>
      </w:r>
      <w:r w:rsidRPr="002B2DD7">
        <w:rPr>
          <w:rFonts w:ascii="Arial" w:hAnsi="Arial" w:cs="Arial"/>
          <w:color w:val="000000"/>
          <w:spacing w:val="-3"/>
          <w:sz w:val="18"/>
          <w:szCs w:val="18"/>
        </w:rPr>
        <w:tab/>
      </w:r>
      <w:r w:rsidRPr="002B2DD7">
        <w:rPr>
          <w:rFonts w:ascii="Arial" w:hAnsi="Arial" w:cs="Arial"/>
          <w:b/>
          <w:bCs/>
          <w:color w:val="000000"/>
          <w:spacing w:val="-3"/>
          <w:sz w:val="18"/>
          <w:szCs w:val="18"/>
        </w:rPr>
        <w:t xml:space="preserve">% of Total </w:t>
      </w:r>
    </w:p>
    <w:p w14:paraId="21647CCA" w14:textId="77777777" w:rsidR="002B2DD7" w:rsidRPr="002B2DD7" w:rsidRDefault="002B2DD7" w:rsidP="002B2DD7">
      <w:pPr>
        <w:tabs>
          <w:tab w:val="left" w:pos="740"/>
          <w:tab w:val="center" w:pos="344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ab/>
      </w:r>
      <w:r w:rsidRPr="002B2DD7">
        <w:rPr>
          <w:rFonts w:ascii="Arial" w:hAnsi="Arial" w:cs="Arial"/>
          <w:b/>
          <w:bCs/>
          <w:color w:val="000000"/>
          <w:spacing w:val="-3"/>
          <w:sz w:val="18"/>
          <w:szCs w:val="18"/>
          <w:u w:val="thick"/>
        </w:rPr>
        <w:t>Protein Fraction</w:t>
      </w:r>
      <w:r w:rsidRPr="002B2DD7">
        <w:rPr>
          <w:rFonts w:ascii="Arial" w:hAnsi="Arial" w:cs="Arial"/>
          <w:b/>
          <w:bCs/>
          <w:color w:val="000000"/>
          <w:spacing w:val="-3"/>
          <w:sz w:val="18"/>
          <w:szCs w:val="18"/>
        </w:rPr>
        <w:tab/>
      </w:r>
      <w:r w:rsidRPr="002B2DD7">
        <w:rPr>
          <w:rFonts w:ascii="Arial" w:hAnsi="Arial" w:cs="Arial"/>
          <w:b/>
          <w:bCs/>
          <w:color w:val="000000"/>
          <w:spacing w:val="-3"/>
          <w:sz w:val="18"/>
          <w:szCs w:val="18"/>
          <w:u w:val="thick"/>
        </w:rPr>
        <w:t>Mean ± 2 S.D.</w:t>
      </w:r>
      <w:r w:rsidRPr="002B2DD7">
        <w:rPr>
          <w:rFonts w:ascii="Arial" w:hAnsi="Arial" w:cs="Arial"/>
          <w:color w:val="000000"/>
          <w:spacing w:val="-3"/>
          <w:sz w:val="18"/>
          <w:szCs w:val="18"/>
        </w:rPr>
        <w:t> </w:t>
      </w:r>
    </w:p>
    <w:p w14:paraId="27140C21" w14:textId="77777777" w:rsidR="002B2DD7" w:rsidRPr="002B2DD7" w:rsidRDefault="002B2DD7" w:rsidP="002B2DD7">
      <w:pPr>
        <w:tabs>
          <w:tab w:val="center" w:pos="1340"/>
          <w:tab w:val="decimal" w:pos="322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Albumin</w:t>
      </w:r>
      <w:r w:rsidRPr="002B2DD7">
        <w:rPr>
          <w:rFonts w:ascii="Arial" w:hAnsi="Arial" w:cs="Arial"/>
          <w:color w:val="000000"/>
          <w:spacing w:val="-3"/>
          <w:sz w:val="18"/>
          <w:szCs w:val="18"/>
        </w:rPr>
        <w:tab/>
        <w:t>47.3 - 62.7</w:t>
      </w:r>
    </w:p>
    <w:p w14:paraId="4722110D" w14:textId="77777777" w:rsidR="002B2DD7" w:rsidRPr="002B2DD7" w:rsidRDefault="002B2DD7" w:rsidP="002B2DD7">
      <w:pPr>
        <w:tabs>
          <w:tab w:val="center" w:pos="1340"/>
          <w:tab w:val="decimal" w:pos="322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Alpha</w:t>
      </w:r>
      <w:r w:rsidRPr="002B2DD7">
        <w:rPr>
          <w:rFonts w:ascii="Arial" w:hAnsi="Arial" w:cs="Arial"/>
          <w:color w:val="000000"/>
          <w:spacing w:val="-3"/>
          <w:sz w:val="18"/>
          <w:szCs w:val="18"/>
          <w:vertAlign w:val="subscript"/>
        </w:rPr>
        <w:t>1</w:t>
      </w:r>
      <w:r w:rsidRPr="002B2DD7">
        <w:rPr>
          <w:rFonts w:ascii="Arial" w:hAnsi="Arial" w:cs="Arial"/>
          <w:color w:val="000000"/>
          <w:spacing w:val="-3"/>
          <w:sz w:val="18"/>
          <w:szCs w:val="18"/>
        </w:rPr>
        <w:tab/>
        <w:t>1.8 - 4.3</w:t>
      </w:r>
    </w:p>
    <w:p w14:paraId="00F4E902" w14:textId="77777777" w:rsidR="002B2DD7" w:rsidRPr="002B2DD7" w:rsidRDefault="002B2DD7" w:rsidP="002B2DD7">
      <w:pPr>
        <w:tabs>
          <w:tab w:val="center" w:pos="1340"/>
          <w:tab w:val="decimal" w:pos="322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Alpha</w:t>
      </w:r>
      <w:r w:rsidRPr="002B2DD7">
        <w:rPr>
          <w:rFonts w:ascii="Arial" w:hAnsi="Arial" w:cs="Arial"/>
          <w:color w:val="000000"/>
          <w:spacing w:val="-3"/>
          <w:sz w:val="18"/>
          <w:szCs w:val="18"/>
          <w:vertAlign w:val="subscript"/>
        </w:rPr>
        <w:t>2</w:t>
      </w:r>
      <w:r w:rsidRPr="002B2DD7">
        <w:rPr>
          <w:rFonts w:ascii="Arial" w:hAnsi="Arial" w:cs="Arial"/>
          <w:color w:val="000000"/>
          <w:spacing w:val="-3"/>
          <w:sz w:val="18"/>
          <w:szCs w:val="18"/>
        </w:rPr>
        <w:tab/>
        <w:t>7.3 - 14.4</w:t>
      </w:r>
    </w:p>
    <w:p w14:paraId="4E9B9791" w14:textId="77777777" w:rsidR="002B2DD7" w:rsidRPr="002B2DD7" w:rsidRDefault="002B2DD7" w:rsidP="002B2DD7">
      <w:pPr>
        <w:tabs>
          <w:tab w:val="center" w:pos="1340"/>
          <w:tab w:val="decimal" w:pos="322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Beta</w:t>
      </w:r>
      <w:r w:rsidRPr="002B2DD7">
        <w:rPr>
          <w:rFonts w:ascii="Arial" w:hAnsi="Arial" w:cs="Arial"/>
          <w:color w:val="000000"/>
          <w:spacing w:val="-3"/>
          <w:sz w:val="18"/>
          <w:szCs w:val="18"/>
        </w:rPr>
        <w:tab/>
        <w:t>13.5 - 19.7</w:t>
      </w:r>
    </w:p>
    <w:p w14:paraId="4212651A" w14:textId="77777777" w:rsidR="002B2DD7" w:rsidRPr="002B2DD7" w:rsidRDefault="002B2DD7" w:rsidP="002B2DD7">
      <w:pPr>
        <w:tabs>
          <w:tab w:val="center" w:pos="1340"/>
          <w:tab w:val="decimal" w:pos="322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Gamma</w:t>
      </w:r>
      <w:r w:rsidRPr="002B2DD7">
        <w:rPr>
          <w:rFonts w:ascii="Arial" w:hAnsi="Arial" w:cs="Arial"/>
          <w:color w:val="000000"/>
          <w:spacing w:val="-3"/>
          <w:sz w:val="18"/>
          <w:szCs w:val="18"/>
        </w:rPr>
        <w:tab/>
        <w:t>6.5 - 22.5</w:t>
      </w:r>
    </w:p>
    <w:p w14:paraId="56BD6A10"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Each laboratory should perform its own normal range study.</w:t>
      </w:r>
    </w:p>
    <w:p w14:paraId="3B9ADCED"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Variations of Expected Values</w:t>
      </w:r>
      <w:r w:rsidRPr="002B2DD7">
        <w:rPr>
          <w:rFonts w:ascii="Arial" w:hAnsi="Arial" w:cs="Arial"/>
          <w:b/>
          <w:bCs/>
          <w:color w:val="000000"/>
          <w:spacing w:val="-3"/>
          <w:sz w:val="18"/>
          <w:szCs w:val="18"/>
          <w:vertAlign w:val="superscript"/>
        </w:rPr>
        <w:t>5</w:t>
      </w:r>
    </w:p>
    <w:p w14:paraId="3F1A4644"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Studies show that values are the same for both males and nonpregnant females (Some differences are seen in pregnant females at term and in women on oral contraceptives).</w:t>
      </w:r>
    </w:p>
    <w:p w14:paraId="6E067432"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Age has some effect on normal levels. Cord blood has decreased total protein, albumin, alpha</w:t>
      </w:r>
      <w:r w:rsidRPr="002B2DD7">
        <w:rPr>
          <w:rFonts w:ascii="Arial" w:hAnsi="Arial" w:cs="Arial"/>
          <w:color w:val="000000"/>
          <w:spacing w:val="-3"/>
          <w:sz w:val="18"/>
          <w:szCs w:val="18"/>
          <w:vertAlign w:val="subscript"/>
        </w:rPr>
        <w:t>2</w:t>
      </w:r>
      <w:r w:rsidRPr="002B2DD7">
        <w:rPr>
          <w:rFonts w:ascii="Arial" w:hAnsi="Arial" w:cs="Arial"/>
          <w:color w:val="000000"/>
          <w:spacing w:val="-3"/>
          <w:sz w:val="18"/>
          <w:szCs w:val="18"/>
        </w:rPr>
        <w:t xml:space="preserve"> and beta fractions, slightly increased alpha</w:t>
      </w:r>
      <w:r w:rsidRPr="002B2DD7">
        <w:rPr>
          <w:rFonts w:ascii="Arial" w:hAnsi="Arial" w:cs="Arial"/>
          <w:color w:val="000000"/>
          <w:spacing w:val="-3"/>
          <w:sz w:val="18"/>
          <w:szCs w:val="18"/>
          <w:vertAlign w:val="subscript"/>
        </w:rPr>
        <w:t>1</w:t>
      </w:r>
      <w:r w:rsidRPr="002B2DD7">
        <w:rPr>
          <w:rFonts w:ascii="Arial" w:hAnsi="Arial" w:cs="Arial"/>
          <w:color w:val="000000"/>
          <w:spacing w:val="-3"/>
          <w:sz w:val="18"/>
          <w:szCs w:val="18"/>
        </w:rPr>
        <w:t xml:space="preserve"> and normal or increased gamma fractions (largely of maternal origin). The gamma globulins drop rapidly until about three months of age, while the other fractions have reached adult levels by this time. Adult levels of the gamma globulins are not reached until 16 years of age. The albumin decreases and beta globulin increases after the age of 40.</w:t>
      </w:r>
    </w:p>
    <w:p w14:paraId="08A485AC"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RESULTS</w:t>
      </w:r>
    </w:p>
    <w:p w14:paraId="2AA8D35B" w14:textId="77777777" w:rsid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Figure 1 illustrates the electrophoretic mobilities of the albumin, alpha</w:t>
      </w:r>
      <w:r w:rsidRPr="002B2DD7">
        <w:rPr>
          <w:rFonts w:ascii="Arial" w:hAnsi="Arial" w:cs="Arial"/>
          <w:color w:val="000000"/>
          <w:spacing w:val="-3"/>
          <w:sz w:val="18"/>
          <w:szCs w:val="18"/>
          <w:vertAlign w:val="subscript"/>
        </w:rPr>
        <w:t>1</w:t>
      </w:r>
      <w:r w:rsidRPr="002B2DD7">
        <w:rPr>
          <w:rFonts w:ascii="Arial" w:hAnsi="Arial" w:cs="Arial"/>
          <w:color w:val="000000"/>
          <w:spacing w:val="-3"/>
          <w:sz w:val="18"/>
          <w:szCs w:val="18"/>
        </w:rPr>
        <w:t>, alpha</w:t>
      </w:r>
      <w:r w:rsidRPr="002B2DD7">
        <w:rPr>
          <w:rFonts w:ascii="Arial" w:hAnsi="Arial" w:cs="Arial"/>
          <w:color w:val="000000"/>
          <w:spacing w:val="-3"/>
          <w:sz w:val="18"/>
          <w:szCs w:val="18"/>
          <w:vertAlign w:val="subscript"/>
        </w:rPr>
        <w:t>2</w:t>
      </w:r>
      <w:r w:rsidRPr="002B2DD7">
        <w:rPr>
          <w:rFonts w:ascii="Arial" w:hAnsi="Arial" w:cs="Arial"/>
          <w:color w:val="000000"/>
          <w:spacing w:val="-3"/>
          <w:sz w:val="18"/>
          <w:szCs w:val="18"/>
        </w:rPr>
        <w:t>, beta and gamma protein bands on a SPIFE Split Beta SPE Gel. The fastest moving band, and normally the most prominent, is the albumin band found closest to the anodic edge of the gel. The faint band next to this is alpha</w:t>
      </w:r>
      <w:r w:rsidRPr="002B2DD7">
        <w:rPr>
          <w:rFonts w:ascii="Arial" w:hAnsi="Arial" w:cs="Arial"/>
          <w:color w:val="000000"/>
          <w:spacing w:val="-3"/>
          <w:sz w:val="18"/>
          <w:szCs w:val="18"/>
          <w:vertAlign w:val="subscript"/>
        </w:rPr>
        <w:t>1</w:t>
      </w:r>
      <w:r w:rsidRPr="002B2DD7">
        <w:rPr>
          <w:rFonts w:ascii="Arial" w:hAnsi="Arial" w:cs="Arial"/>
          <w:color w:val="000000"/>
          <w:spacing w:val="-3"/>
          <w:sz w:val="18"/>
          <w:szCs w:val="18"/>
        </w:rPr>
        <w:t>, followed by alpha</w:t>
      </w:r>
      <w:r w:rsidRPr="002B2DD7">
        <w:rPr>
          <w:rFonts w:ascii="Arial" w:hAnsi="Arial" w:cs="Arial"/>
          <w:color w:val="000000"/>
          <w:spacing w:val="-3"/>
          <w:sz w:val="18"/>
          <w:szCs w:val="18"/>
          <w:vertAlign w:val="subscript"/>
        </w:rPr>
        <w:t>2</w:t>
      </w:r>
      <w:r w:rsidRPr="002B2DD7">
        <w:rPr>
          <w:rFonts w:ascii="Arial" w:hAnsi="Arial" w:cs="Arial"/>
          <w:color w:val="000000"/>
          <w:spacing w:val="-3"/>
          <w:sz w:val="18"/>
          <w:szCs w:val="18"/>
        </w:rPr>
        <w:t xml:space="preserve"> globulin, split beta and gamma globulins.</w:t>
      </w:r>
    </w:p>
    <w:p w14:paraId="157A56CE"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p>
    <w:p w14:paraId="29C1028E" w14:textId="45414429"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drawing>
          <wp:inline distT="0" distB="0" distL="0" distR="0" wp14:anchorId="73E0A5FE" wp14:editId="0C4CFDF5">
            <wp:extent cx="2362200" cy="3352800"/>
            <wp:effectExtent l="0" t="0" r="0" b="0"/>
            <wp:docPr id="55936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67267" name=""/>
                    <pic:cNvPicPr/>
                  </pic:nvPicPr>
                  <pic:blipFill>
                    <a:blip r:embed="rId5"/>
                    <a:stretch>
                      <a:fillRect/>
                    </a:stretch>
                  </pic:blipFill>
                  <pic:spPr>
                    <a:xfrm>
                      <a:off x="0" y="0"/>
                      <a:ext cx="2362200" cy="3352800"/>
                    </a:xfrm>
                    <a:prstGeom prst="rect">
                      <a:avLst/>
                    </a:prstGeom>
                  </pic:spPr>
                </pic:pic>
              </a:graphicData>
            </a:graphic>
          </wp:inline>
        </w:drawing>
      </w:r>
    </w:p>
    <w:p w14:paraId="6C8BD9C6"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2B2DD7">
        <w:rPr>
          <w:rFonts w:ascii="Arial" w:hAnsi="Arial" w:cs="Arial"/>
          <w:color w:val="000000"/>
          <w:spacing w:val="-3"/>
          <w:sz w:val="18"/>
          <w:szCs w:val="18"/>
        </w:rPr>
        <w:br/>
      </w:r>
      <w:r w:rsidRPr="002B2DD7">
        <w:rPr>
          <w:rFonts w:ascii="Arial" w:hAnsi="Arial" w:cs="Arial"/>
          <w:b/>
          <w:bCs/>
          <w:color w:val="000000"/>
          <w:spacing w:val="-3"/>
          <w:sz w:val="18"/>
          <w:szCs w:val="18"/>
        </w:rPr>
        <w:t>Figure 1:</w:t>
      </w:r>
      <w:r w:rsidRPr="002B2DD7">
        <w:rPr>
          <w:rFonts w:ascii="Arial" w:hAnsi="Arial" w:cs="Arial"/>
          <w:color w:val="000000"/>
          <w:spacing w:val="-3"/>
          <w:sz w:val="18"/>
          <w:szCs w:val="18"/>
        </w:rPr>
        <w:t xml:space="preserve"> A SPIFE Split Beta SPE-100 Gel showing relative position of the bands.</w:t>
      </w:r>
    </w:p>
    <w:p w14:paraId="4C2E791D"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b/>
          <w:bCs/>
          <w:color w:val="000000"/>
          <w:spacing w:val="-3"/>
          <w:sz w:val="18"/>
          <w:szCs w:val="18"/>
        </w:rPr>
      </w:pPr>
    </w:p>
    <w:p w14:paraId="2DE934DD" w14:textId="53F61903"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lastRenderedPageBreak/>
        <w:drawing>
          <wp:inline distT="0" distB="0" distL="0" distR="0" wp14:anchorId="232A69E0" wp14:editId="2D2C6B6D">
            <wp:extent cx="2641600" cy="1803400"/>
            <wp:effectExtent l="0" t="0" r="0" b="0"/>
            <wp:docPr id="159663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34170" name=""/>
                    <pic:cNvPicPr/>
                  </pic:nvPicPr>
                  <pic:blipFill>
                    <a:blip r:embed="rId6"/>
                    <a:stretch>
                      <a:fillRect/>
                    </a:stretch>
                  </pic:blipFill>
                  <pic:spPr>
                    <a:xfrm>
                      <a:off x="0" y="0"/>
                      <a:ext cx="2641600" cy="1803400"/>
                    </a:xfrm>
                    <a:prstGeom prst="rect">
                      <a:avLst/>
                    </a:prstGeom>
                  </pic:spPr>
                </pic:pic>
              </a:graphicData>
            </a:graphic>
          </wp:inline>
        </w:drawing>
      </w:r>
    </w:p>
    <w:p w14:paraId="669DC844"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Figure 2:</w:t>
      </w:r>
      <w:r w:rsidRPr="002B2DD7">
        <w:rPr>
          <w:rFonts w:ascii="Arial" w:hAnsi="Arial" w:cs="Arial"/>
          <w:color w:val="000000"/>
          <w:spacing w:val="-3"/>
          <w:sz w:val="18"/>
          <w:szCs w:val="18"/>
        </w:rPr>
        <w:t xml:space="preserve"> A scan of a SPIFE Split Beta SPE pattern.</w:t>
      </w:r>
    </w:p>
    <w:p w14:paraId="4E18CB91"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Calculations of the Unknown</w:t>
      </w:r>
    </w:p>
    <w:p w14:paraId="284664FA"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 xml:space="preserve">The SPIFE Nexus scanner will automatically calculate and print the relative percent and the absolute value of each band when the total protein is entered. Refer to the SPIFE Nexus and </w:t>
      </w:r>
      <w:proofErr w:type="spellStart"/>
      <w:r w:rsidRPr="002B2DD7">
        <w:rPr>
          <w:rFonts w:ascii="Arial" w:hAnsi="Arial" w:cs="Arial"/>
          <w:color w:val="000000"/>
          <w:spacing w:val="-3"/>
          <w:sz w:val="18"/>
          <w:szCs w:val="18"/>
        </w:rPr>
        <w:t>QuickScan</w:t>
      </w:r>
      <w:proofErr w:type="spellEnd"/>
      <w:r w:rsidRPr="002B2DD7">
        <w:rPr>
          <w:rFonts w:ascii="Arial" w:hAnsi="Arial" w:cs="Arial"/>
          <w:color w:val="000000"/>
          <w:spacing w:val="-3"/>
          <w:sz w:val="18"/>
          <w:szCs w:val="18"/>
        </w:rPr>
        <w:t xml:space="preserve"> Touch Plus Operator’s Manuals provided with the instrument.</w:t>
      </w:r>
    </w:p>
    <w:p w14:paraId="2F9C827E"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INTERPRETATION OF RESULTS</w:t>
      </w:r>
      <w:r w:rsidRPr="002B2DD7">
        <w:rPr>
          <w:rFonts w:ascii="Arial" w:hAnsi="Arial" w:cs="Arial"/>
          <w:b/>
          <w:bCs/>
          <w:color w:val="000000"/>
          <w:spacing w:val="-3"/>
          <w:sz w:val="18"/>
          <w:szCs w:val="18"/>
          <w:vertAlign w:val="superscript"/>
        </w:rPr>
        <w:t>5,6</w:t>
      </w:r>
    </w:p>
    <w:p w14:paraId="2246F40B"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 xml:space="preserve">Results on normal individuals will cover age and sex-related variations and day-to-day biologic variations. Disease states in which abnormal patterns are observed include inflammatory response, rheumatic disease, liver diseases, protein-loss disorders, plasma cell dyscrasias, infectious disorders, renal disorders, pregnancy, and genetic deficiencies. Patients with high levels of IgG4 can </w:t>
      </w:r>
      <w:r w:rsidRPr="002B2DD7">
        <w:rPr>
          <w:rFonts w:ascii="Arial" w:hAnsi="Arial" w:cs="Arial"/>
          <w:color w:val="000000"/>
          <w:spacing w:val="-3"/>
          <w:sz w:val="18"/>
          <w:szCs w:val="18"/>
        </w:rPr>
        <w:br/>
        <w:t>produce a relatively restricted band cathodic in the beta gamma region or beta gamma bridging.</w:t>
      </w:r>
      <w:r w:rsidRPr="002B2DD7">
        <w:rPr>
          <w:rFonts w:ascii="Arial" w:hAnsi="Arial" w:cs="Arial"/>
          <w:color w:val="000000"/>
          <w:spacing w:val="-3"/>
          <w:sz w:val="18"/>
          <w:szCs w:val="18"/>
          <w:vertAlign w:val="superscript"/>
        </w:rPr>
        <w:t>7</w:t>
      </w:r>
      <w:r w:rsidRPr="002B2DD7">
        <w:rPr>
          <w:rFonts w:ascii="Arial" w:hAnsi="Arial" w:cs="Arial"/>
          <w:color w:val="000000"/>
          <w:spacing w:val="-3"/>
          <w:sz w:val="18"/>
          <w:szCs w:val="18"/>
        </w:rPr>
        <w:t xml:space="preserve"> Proteins migrating in the alpha</w:t>
      </w:r>
      <w:r w:rsidRPr="002B2DD7">
        <w:rPr>
          <w:rFonts w:ascii="Arial" w:hAnsi="Arial" w:cs="Arial"/>
          <w:color w:val="000000"/>
          <w:spacing w:val="-3"/>
          <w:sz w:val="18"/>
          <w:szCs w:val="18"/>
          <w:vertAlign w:val="subscript"/>
        </w:rPr>
        <w:t xml:space="preserve">2 </w:t>
      </w:r>
      <w:r w:rsidRPr="002B2DD7">
        <w:rPr>
          <w:rFonts w:ascii="Arial" w:hAnsi="Arial" w:cs="Arial"/>
          <w:color w:val="000000"/>
          <w:spacing w:val="-3"/>
          <w:sz w:val="18"/>
          <w:szCs w:val="18"/>
        </w:rPr>
        <w:t>and beta region may show slight variation in migration under a variety of circumstances.</w:t>
      </w:r>
      <w:r w:rsidRPr="002B2DD7">
        <w:rPr>
          <w:rFonts w:ascii="Arial" w:hAnsi="Arial" w:cs="Arial"/>
          <w:color w:val="000000"/>
          <w:spacing w:val="-3"/>
          <w:sz w:val="18"/>
          <w:szCs w:val="18"/>
          <w:vertAlign w:val="superscript"/>
        </w:rPr>
        <w:t>8</w:t>
      </w:r>
    </w:p>
    <w:p w14:paraId="170CFC6D"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Further Testing Required</w:t>
      </w:r>
    </w:p>
    <w:p w14:paraId="683C9E70"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The serum or urine protein electropherogram, or densitometric tracing, should be evaluated for abnormalities. If abnormalities are observed, appropriate follow-up studies should be initiated.</w:t>
      </w:r>
      <w:r w:rsidRPr="002B2DD7">
        <w:rPr>
          <w:rFonts w:ascii="Arial" w:hAnsi="Arial" w:cs="Arial"/>
          <w:color w:val="000000"/>
          <w:spacing w:val="-3"/>
          <w:sz w:val="18"/>
          <w:szCs w:val="18"/>
          <w:vertAlign w:val="superscript"/>
        </w:rPr>
        <w:t>9</w:t>
      </w:r>
      <w:r w:rsidRPr="002B2DD7">
        <w:rPr>
          <w:rFonts w:ascii="Arial" w:hAnsi="Arial" w:cs="Arial"/>
          <w:color w:val="000000"/>
          <w:spacing w:val="-3"/>
          <w:sz w:val="18"/>
          <w:szCs w:val="18"/>
        </w:rPr>
        <w:t xml:space="preserve"> Not all clinically significant monoclonal gammopathies will display a distinct band detectable by protein electrophoresis.</w:t>
      </w:r>
      <w:r w:rsidRPr="002B2DD7">
        <w:rPr>
          <w:rFonts w:ascii="Arial" w:hAnsi="Arial" w:cs="Arial"/>
          <w:color w:val="000000"/>
          <w:spacing w:val="-3"/>
          <w:sz w:val="18"/>
          <w:szCs w:val="18"/>
          <w:vertAlign w:val="superscript"/>
        </w:rPr>
        <w:t>10</w:t>
      </w:r>
      <w:r w:rsidRPr="002B2DD7">
        <w:rPr>
          <w:rFonts w:ascii="Arial" w:hAnsi="Arial" w:cs="Arial"/>
          <w:color w:val="000000"/>
          <w:spacing w:val="-3"/>
          <w:sz w:val="18"/>
          <w:szCs w:val="18"/>
        </w:rPr>
        <w:t xml:space="preserve"> Further studies may be indicated based on clinical context. These may include immunofixation, quantitation of immunoglobulins, bone marrow examination and other appropriate tests.  </w:t>
      </w:r>
    </w:p>
    <w:p w14:paraId="78971B68"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LIMITATIONS</w:t>
      </w:r>
    </w:p>
    <w:p w14:paraId="58035420" w14:textId="1C21FF2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 xml:space="preserve">1. Since all electrophoretic procedures are nonlinear, it is critical to fill the wells with the recommended volume of serum or urine to obtain optimal resolution and reproducible results. Noncompliance with the recommended procedure may affect the results. </w:t>
      </w:r>
    </w:p>
    <w:p w14:paraId="12BF2678" w14:textId="5F464ABD"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2. Therapeutic monoclonal antibodies may be used in the treatment of multiple myeloma as well as various other malignancies or medical conditions. If present in sufficient concentration, these agents may be indistinguishable from a pathologic monoclonal protein on serum protein electrophoresis.</w:t>
      </w:r>
      <w:r w:rsidRPr="002B2DD7">
        <w:rPr>
          <w:rFonts w:ascii="Arial" w:hAnsi="Arial" w:cs="Arial"/>
          <w:color w:val="000000"/>
          <w:spacing w:val="-3"/>
          <w:sz w:val="18"/>
          <w:szCs w:val="18"/>
          <w:vertAlign w:val="superscript"/>
        </w:rPr>
        <w:t>11,12</w:t>
      </w:r>
      <w:r w:rsidRPr="002B2DD7">
        <w:rPr>
          <w:rFonts w:ascii="Arial" w:hAnsi="Arial" w:cs="Arial"/>
          <w:color w:val="000000"/>
          <w:spacing w:val="-3"/>
          <w:sz w:val="18"/>
          <w:szCs w:val="18"/>
        </w:rPr>
        <w:t xml:space="preserve"> </w:t>
      </w:r>
    </w:p>
    <w:p w14:paraId="4A339113" w14:textId="26AE311E"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 xml:space="preserve">3. Use of plasma will cause a fibrinogen band to appear as a distinct narrow band between the beta and gamma fractions. A fibrinogen band may also be present in patients on heparin therapy. </w:t>
      </w:r>
    </w:p>
    <w:p w14:paraId="37516AAF" w14:textId="039F1A6D"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 xml:space="preserve">4. </w:t>
      </w:r>
      <w:r w:rsidRPr="002B2DD7">
        <w:rPr>
          <w:rFonts w:ascii="Arial" w:hAnsi="Arial" w:cs="Arial"/>
          <w:color w:val="000000"/>
          <w:spacing w:val="-6"/>
          <w:sz w:val="18"/>
          <w:szCs w:val="18"/>
        </w:rPr>
        <w:t>Hemolyzed samples should be avoided as changes in hemoglobin</w:t>
      </w:r>
      <w:r w:rsidRPr="002B2DD7">
        <w:rPr>
          <w:rFonts w:ascii="Arial" w:hAnsi="Arial" w:cs="Arial"/>
          <w:color w:val="000000"/>
          <w:spacing w:val="-3"/>
          <w:sz w:val="18"/>
          <w:szCs w:val="18"/>
        </w:rPr>
        <w:t>-haptoglobin may affect the alpha</w:t>
      </w:r>
      <w:r w:rsidRPr="002B2DD7">
        <w:rPr>
          <w:rFonts w:ascii="Arial" w:hAnsi="Arial" w:cs="Arial"/>
          <w:color w:val="000000"/>
          <w:spacing w:val="-3"/>
          <w:sz w:val="18"/>
          <w:szCs w:val="18"/>
          <w:vertAlign w:val="subscript"/>
        </w:rPr>
        <w:t>2</w:t>
      </w:r>
      <w:r w:rsidRPr="002B2DD7">
        <w:rPr>
          <w:rFonts w:ascii="Arial" w:hAnsi="Arial" w:cs="Arial"/>
          <w:color w:val="000000"/>
          <w:spacing w:val="-3"/>
          <w:sz w:val="18"/>
          <w:szCs w:val="18"/>
        </w:rPr>
        <w:t xml:space="preserve"> and beta migration.</w:t>
      </w:r>
      <w:r w:rsidRPr="002B2DD7">
        <w:rPr>
          <w:rFonts w:ascii="Arial" w:hAnsi="Arial" w:cs="Arial"/>
          <w:color w:val="000000"/>
          <w:spacing w:val="-3"/>
          <w:sz w:val="18"/>
          <w:szCs w:val="18"/>
          <w:vertAlign w:val="superscript"/>
        </w:rPr>
        <w:t>13,14</w:t>
      </w:r>
    </w:p>
    <w:p w14:paraId="49767AD0" w14:textId="09C588DD"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5. The mobility of beta lipoprotein (low density lipoprotein) can vary considerably and may migrate under normal conditions anywhere between the alpha</w:t>
      </w:r>
      <w:r w:rsidRPr="002B2DD7">
        <w:rPr>
          <w:rFonts w:ascii="Arial" w:hAnsi="Arial" w:cs="Arial"/>
          <w:color w:val="000000"/>
          <w:spacing w:val="-3"/>
          <w:sz w:val="18"/>
          <w:szCs w:val="18"/>
          <w:vertAlign w:val="subscript"/>
        </w:rPr>
        <w:t>2</w:t>
      </w:r>
      <w:r w:rsidRPr="002B2DD7">
        <w:rPr>
          <w:rFonts w:ascii="Arial" w:hAnsi="Arial" w:cs="Arial"/>
          <w:color w:val="000000"/>
          <w:spacing w:val="-3"/>
          <w:sz w:val="18"/>
          <w:szCs w:val="18"/>
        </w:rPr>
        <w:t xml:space="preserve"> and beta region. Beta lipoproteins can be recognized by their characteristic appearance as a thin, irregular line, regardless of its migration location. </w:t>
      </w:r>
    </w:p>
    <w:p w14:paraId="61526317" w14:textId="7A2041C6"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6. An artifact may be present at the point of application, particularly with the use of frozen samples, older samples, or samples containing debris.</w:t>
      </w:r>
      <w:r w:rsidRPr="002B2DD7">
        <w:rPr>
          <w:rFonts w:ascii="Arial" w:hAnsi="Arial" w:cs="Arial"/>
          <w:color w:val="000000"/>
          <w:spacing w:val="-3"/>
          <w:sz w:val="18"/>
          <w:szCs w:val="18"/>
          <w:vertAlign w:val="superscript"/>
        </w:rPr>
        <w:t>13</w:t>
      </w:r>
      <w:r w:rsidRPr="002B2DD7">
        <w:rPr>
          <w:rFonts w:ascii="Arial" w:hAnsi="Arial" w:cs="Arial"/>
          <w:color w:val="000000"/>
          <w:spacing w:val="-3"/>
          <w:sz w:val="18"/>
          <w:szCs w:val="18"/>
        </w:rPr>
        <w:t xml:space="preserve"> An application artifact may appear as fine clear line (negative space) that may be visible to a faint degree across the entire gel in the beta region. This can on occasion cause the edge of a normal blush to appear slightly blunted.</w:t>
      </w:r>
    </w:p>
    <w:p w14:paraId="30B047EB"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8"/>
          <w:szCs w:val="18"/>
        </w:rPr>
      </w:pPr>
      <w:r w:rsidRPr="002B2DD7">
        <w:rPr>
          <w:rFonts w:ascii="Arial" w:hAnsi="Arial" w:cs="Arial"/>
          <w:b/>
          <w:bCs/>
          <w:color w:val="000000"/>
          <w:spacing w:val="-3"/>
          <w:sz w:val="18"/>
          <w:szCs w:val="18"/>
        </w:rPr>
        <w:t>SPECIFIC PERFORMANCE CHARACTERISTICS</w:t>
      </w:r>
    </w:p>
    <w:p w14:paraId="75C3BEAF"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 xml:space="preserve">Reproducibility was assessed over a </w:t>
      </w:r>
      <w:proofErr w:type="gramStart"/>
      <w:r w:rsidRPr="002B2DD7">
        <w:rPr>
          <w:rFonts w:ascii="Arial" w:hAnsi="Arial" w:cs="Arial"/>
          <w:color w:val="000000"/>
          <w:spacing w:val="-3"/>
          <w:sz w:val="18"/>
          <w:szCs w:val="18"/>
        </w:rPr>
        <w:t>5 day</w:t>
      </w:r>
      <w:proofErr w:type="gramEnd"/>
      <w:r w:rsidRPr="002B2DD7">
        <w:rPr>
          <w:rFonts w:ascii="Arial" w:hAnsi="Arial" w:cs="Arial"/>
          <w:color w:val="000000"/>
          <w:spacing w:val="-3"/>
          <w:sz w:val="18"/>
          <w:szCs w:val="18"/>
        </w:rPr>
        <w:t xml:space="preserve"> period. Normal and abnormal serum controls were tested on two gels per day on each of three SPIFE Nexus instruments. Three hundred sixty determinations per protein fraction in total were collected for the normal and abnormal serum protein controls respectively.</w:t>
      </w:r>
    </w:p>
    <w:p w14:paraId="7177483E"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p>
    <w:p w14:paraId="3D2EF4D6"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p>
    <w:p w14:paraId="4D738D42"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p>
    <w:p w14:paraId="0D857FD5" w14:textId="29F56079"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Pr>
          <w:rFonts w:ascii="Arial" w:hAnsi="Arial" w:cs="Arial"/>
          <w:noProof/>
          <w:color w:val="000000"/>
          <w:spacing w:val="-3"/>
          <w:sz w:val="18"/>
          <w:szCs w:val="18"/>
        </w:rPr>
        <w:lastRenderedPageBreak/>
        <w:drawing>
          <wp:inline distT="0" distB="0" distL="0" distR="0" wp14:anchorId="4582BC53" wp14:editId="42A885E3">
            <wp:extent cx="4462272" cy="3674291"/>
            <wp:effectExtent l="0" t="0" r="0" b="0"/>
            <wp:docPr id="21321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4658" name="Picture 213214658"/>
                    <pic:cNvPicPr/>
                  </pic:nvPicPr>
                  <pic:blipFill>
                    <a:blip r:embed="rId7">
                      <a:extLst>
                        <a:ext uri="{28A0092B-C50C-407E-A947-70E740481C1C}">
                          <a14:useLocalDpi xmlns:a14="http://schemas.microsoft.com/office/drawing/2010/main" val="0"/>
                        </a:ext>
                      </a:extLst>
                    </a:blip>
                    <a:stretch>
                      <a:fillRect/>
                    </a:stretch>
                  </pic:blipFill>
                  <pic:spPr>
                    <a:xfrm>
                      <a:off x="0" y="0"/>
                      <a:ext cx="4490735" cy="3697728"/>
                    </a:xfrm>
                    <a:prstGeom prst="rect">
                      <a:avLst/>
                    </a:prstGeom>
                  </pic:spPr>
                </pic:pic>
              </a:graphicData>
            </a:graphic>
          </wp:inline>
        </w:drawing>
      </w:r>
    </w:p>
    <w:p w14:paraId="5585B7D0"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8"/>
          <w:szCs w:val="18"/>
        </w:rPr>
      </w:pPr>
    </w:p>
    <w:p w14:paraId="05E99190"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SENSITIVITY</w:t>
      </w:r>
    </w:p>
    <w:p w14:paraId="6C820379"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w w:val="90"/>
          <w:sz w:val="18"/>
          <w:szCs w:val="18"/>
        </w:rPr>
      </w:pPr>
      <w:r w:rsidRPr="002B2DD7">
        <w:rPr>
          <w:rFonts w:ascii="Arial" w:hAnsi="Arial" w:cs="Arial"/>
          <w:color w:val="000000"/>
          <w:spacing w:val="-3"/>
          <w:w w:val="90"/>
          <w:sz w:val="18"/>
          <w:szCs w:val="18"/>
        </w:rPr>
        <w:t xml:space="preserve">A pathological serum sample with a monoclonal protein was serially diluted and the dilutions electrophoresed on the SPIFE Split Beta SPE gels on the SPIFE Nexus. After visual inspection of the gel, the lowest detectable concentration of a monoclonal protein was between approximately 0.14 </w:t>
      </w:r>
      <w:proofErr w:type="gramStart"/>
      <w:r w:rsidRPr="002B2DD7">
        <w:rPr>
          <w:rFonts w:ascii="Arial" w:hAnsi="Arial" w:cs="Arial"/>
          <w:color w:val="000000"/>
          <w:spacing w:val="-3"/>
          <w:w w:val="90"/>
          <w:sz w:val="18"/>
          <w:szCs w:val="18"/>
        </w:rPr>
        <w:t>and  0.28</w:t>
      </w:r>
      <w:proofErr w:type="gramEnd"/>
      <w:r w:rsidRPr="002B2DD7">
        <w:rPr>
          <w:rFonts w:ascii="Arial" w:hAnsi="Arial" w:cs="Arial"/>
          <w:color w:val="000000"/>
          <w:spacing w:val="-3"/>
          <w:w w:val="90"/>
          <w:sz w:val="18"/>
          <w:szCs w:val="18"/>
        </w:rPr>
        <w:t xml:space="preserve"> g/L (14 and 28 mg/dL). </w:t>
      </w:r>
    </w:p>
    <w:p w14:paraId="52CC21B5"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w w:val="90"/>
          <w:sz w:val="18"/>
          <w:szCs w:val="18"/>
        </w:rPr>
        <w:t>Serial dilutions of a pathological urine sample containing a monoclonal were analyzed on the SPIFE Nexus using blade application on the SPIFE Split Beta SPE gels. The sensitivity was determined to be approximately 0.07 g/L (7 mg/dL) for a single band when using three blade applications of neat urine.</w:t>
      </w:r>
    </w:p>
    <w:p w14:paraId="7C35F431"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 xml:space="preserve">NOTE: </w:t>
      </w:r>
      <w:r w:rsidRPr="002B2DD7">
        <w:rPr>
          <w:rFonts w:ascii="Arial" w:hAnsi="Arial" w:cs="Arial"/>
          <w:color w:val="000000"/>
          <w:spacing w:val="-3"/>
          <w:sz w:val="18"/>
          <w:szCs w:val="18"/>
        </w:rPr>
        <w:t>The migration position of the monoclonal protein and the presence of a polyclonal background in the gamma zone may affect the detection limit.</w:t>
      </w:r>
    </w:p>
    <w:p w14:paraId="3CE5FB08"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CORRELATION</w:t>
      </w:r>
    </w:p>
    <w:p w14:paraId="5DDC25DD" w14:textId="695D4724"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textAlignment w:val="center"/>
        <w:rPr>
          <w:rFonts w:ascii="Arial" w:hAnsi="Arial" w:cs="Arial"/>
          <w:color w:val="000000"/>
          <w:spacing w:val="-3"/>
          <w:sz w:val="18"/>
          <w:szCs w:val="18"/>
        </w:rPr>
      </w:pPr>
      <w:r w:rsidRPr="002B2DD7">
        <w:rPr>
          <w:rFonts w:ascii="Arial" w:hAnsi="Arial" w:cs="Arial"/>
          <w:color w:val="000000"/>
          <w:spacing w:val="-3"/>
          <w:sz w:val="18"/>
          <w:szCs w:val="18"/>
        </w:rPr>
        <w:t>Normal and abnormal serum samples were analyzed using the SPIFE Touch Split Beta SPE system and the SPIFE Nexus Split Beta SPE system. Deming regression with 95% confidence intervals and Pearson correlation coefficient are presented below.</w:t>
      </w:r>
    </w:p>
    <w:p w14:paraId="61A585D2"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n = 45</w:t>
      </w:r>
    </w:p>
    <w:p w14:paraId="260BB0C4"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Slope: 1.005 (0.995 to 1.016)</w:t>
      </w:r>
    </w:p>
    <w:p w14:paraId="29892320"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Intercept: -0.10 (-0.38 to 0.17)</w:t>
      </w:r>
    </w:p>
    <w:p w14:paraId="0D1546E3"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color w:val="000000"/>
          <w:spacing w:val="-3"/>
          <w:sz w:val="18"/>
          <w:szCs w:val="18"/>
        </w:rPr>
        <w:tab/>
        <w:t>R = 0.99</w:t>
      </w:r>
    </w:p>
    <w:p w14:paraId="044D3827"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2B2DD7">
        <w:rPr>
          <w:rFonts w:ascii="Arial" w:hAnsi="Arial" w:cs="Arial"/>
          <w:b/>
          <w:bCs/>
          <w:color w:val="000000"/>
          <w:spacing w:val="-3"/>
          <w:sz w:val="18"/>
          <w:szCs w:val="18"/>
        </w:rPr>
        <w:t>BIBLIOGRAPHY</w:t>
      </w:r>
    </w:p>
    <w:p w14:paraId="216FE0CC" w14:textId="3A7F300E"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1.</w:t>
      </w:r>
      <w:r w:rsidRPr="002B2DD7">
        <w:rPr>
          <w:rFonts w:ascii="Arial" w:hAnsi="Arial" w:cs="Arial"/>
          <w:color w:val="000000"/>
          <w:spacing w:val="-3"/>
          <w:sz w:val="14"/>
          <w:szCs w:val="14"/>
        </w:rPr>
        <w:tab/>
      </w:r>
      <w:proofErr w:type="spellStart"/>
      <w:r w:rsidRPr="002B2DD7">
        <w:rPr>
          <w:rFonts w:ascii="Arial" w:hAnsi="Arial" w:cs="Arial"/>
          <w:color w:val="000000"/>
          <w:spacing w:val="-3"/>
          <w:sz w:val="14"/>
          <w:szCs w:val="14"/>
        </w:rPr>
        <w:t>Alper</w:t>
      </w:r>
      <w:proofErr w:type="spellEnd"/>
      <w:r w:rsidRPr="002B2DD7">
        <w:rPr>
          <w:rFonts w:ascii="Arial" w:hAnsi="Arial" w:cs="Arial"/>
          <w:color w:val="000000"/>
          <w:spacing w:val="-3"/>
          <w:sz w:val="14"/>
          <w:szCs w:val="14"/>
        </w:rPr>
        <w:t xml:space="preserve"> CA. Plasma protein measurements as a diagnostic aid. </w:t>
      </w:r>
      <w:r w:rsidRPr="002B2DD7">
        <w:rPr>
          <w:rFonts w:ascii="Arial" w:hAnsi="Arial" w:cs="Arial"/>
          <w:i/>
          <w:iCs/>
          <w:color w:val="000000"/>
          <w:spacing w:val="-3"/>
          <w:sz w:val="14"/>
          <w:szCs w:val="14"/>
        </w:rPr>
        <w:t>New England Journal of Medicine.</w:t>
      </w:r>
      <w:r w:rsidRPr="002B2DD7">
        <w:rPr>
          <w:rFonts w:ascii="Arial" w:hAnsi="Arial" w:cs="Arial"/>
          <w:color w:val="000000"/>
          <w:spacing w:val="-3"/>
          <w:sz w:val="14"/>
          <w:szCs w:val="14"/>
        </w:rPr>
        <w:t xml:space="preserve"> 1974;291(6):287-290. </w:t>
      </w:r>
    </w:p>
    <w:p w14:paraId="5C0FC787" w14:textId="3C636C37"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2.</w:t>
      </w:r>
      <w:r w:rsidRPr="002B2DD7">
        <w:rPr>
          <w:rFonts w:ascii="Arial" w:hAnsi="Arial" w:cs="Arial"/>
          <w:color w:val="000000"/>
          <w:spacing w:val="-3"/>
          <w:sz w:val="14"/>
          <w:szCs w:val="14"/>
        </w:rPr>
        <w:tab/>
        <w:t xml:space="preserve">Tiselius A. A New Apparatus for Electrophoretic Analysis of Colloidal Mixtures. </w:t>
      </w:r>
      <w:r w:rsidRPr="002B2DD7">
        <w:rPr>
          <w:rFonts w:ascii="Arial" w:hAnsi="Arial" w:cs="Arial"/>
          <w:i/>
          <w:iCs/>
          <w:color w:val="000000"/>
          <w:spacing w:val="-3"/>
          <w:sz w:val="14"/>
          <w:szCs w:val="14"/>
        </w:rPr>
        <w:t>Transactions of the Faraday Society.</w:t>
      </w:r>
      <w:r w:rsidRPr="002B2DD7">
        <w:rPr>
          <w:rFonts w:ascii="Arial" w:hAnsi="Arial" w:cs="Arial"/>
          <w:color w:val="000000"/>
          <w:spacing w:val="-3"/>
          <w:sz w:val="14"/>
          <w:szCs w:val="14"/>
        </w:rPr>
        <w:t xml:space="preserve"> </w:t>
      </w:r>
      <w:proofErr w:type="gramStart"/>
      <w:r w:rsidRPr="002B2DD7">
        <w:rPr>
          <w:rFonts w:ascii="Arial" w:hAnsi="Arial" w:cs="Arial"/>
          <w:color w:val="000000"/>
          <w:spacing w:val="-3"/>
          <w:sz w:val="14"/>
          <w:szCs w:val="14"/>
        </w:rPr>
        <w:t>1937;33:524</w:t>
      </w:r>
      <w:proofErr w:type="gramEnd"/>
      <w:r w:rsidRPr="002B2DD7">
        <w:rPr>
          <w:rFonts w:ascii="Arial" w:hAnsi="Arial" w:cs="Arial"/>
          <w:color w:val="000000"/>
          <w:spacing w:val="-3"/>
          <w:sz w:val="14"/>
          <w:szCs w:val="14"/>
        </w:rPr>
        <w:t xml:space="preserve">. </w:t>
      </w:r>
    </w:p>
    <w:p w14:paraId="64666294" w14:textId="4D3B5FBC"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3.</w:t>
      </w:r>
      <w:r w:rsidRPr="002B2DD7">
        <w:rPr>
          <w:rFonts w:ascii="Arial" w:hAnsi="Arial" w:cs="Arial"/>
          <w:color w:val="000000"/>
          <w:spacing w:val="-3"/>
          <w:sz w:val="14"/>
          <w:szCs w:val="14"/>
        </w:rPr>
        <w:tab/>
      </w:r>
      <w:proofErr w:type="spellStart"/>
      <w:r w:rsidRPr="002B2DD7">
        <w:rPr>
          <w:rFonts w:ascii="Arial" w:hAnsi="Arial" w:cs="Arial"/>
          <w:color w:val="000000"/>
          <w:spacing w:val="-3"/>
          <w:sz w:val="14"/>
          <w:szCs w:val="14"/>
        </w:rPr>
        <w:t>Ritzmann</w:t>
      </w:r>
      <w:proofErr w:type="spellEnd"/>
      <w:r w:rsidRPr="002B2DD7">
        <w:rPr>
          <w:rFonts w:ascii="Arial" w:hAnsi="Arial" w:cs="Arial"/>
          <w:color w:val="000000"/>
          <w:spacing w:val="-3"/>
          <w:sz w:val="14"/>
          <w:szCs w:val="14"/>
        </w:rPr>
        <w:t xml:space="preserve"> SE, Daniels JC. Diagnostic </w:t>
      </w:r>
      <w:proofErr w:type="spellStart"/>
      <w:r w:rsidRPr="002B2DD7">
        <w:rPr>
          <w:rFonts w:ascii="Arial" w:hAnsi="Arial" w:cs="Arial"/>
          <w:color w:val="000000"/>
          <w:spacing w:val="-3"/>
          <w:sz w:val="14"/>
          <w:szCs w:val="14"/>
        </w:rPr>
        <w:t>Proteinology</w:t>
      </w:r>
      <w:proofErr w:type="spellEnd"/>
      <w:r w:rsidRPr="002B2DD7">
        <w:rPr>
          <w:rFonts w:ascii="Arial" w:hAnsi="Arial" w:cs="Arial"/>
          <w:color w:val="000000"/>
          <w:spacing w:val="-3"/>
          <w:sz w:val="14"/>
          <w:szCs w:val="14"/>
        </w:rPr>
        <w:t xml:space="preserve">: Separation and Characterization of Proteins, Qualitative and Quantitative Assays. In: </w:t>
      </w:r>
      <w:r w:rsidRPr="002B2DD7">
        <w:rPr>
          <w:rFonts w:ascii="Arial" w:hAnsi="Arial" w:cs="Arial"/>
          <w:i/>
          <w:iCs/>
          <w:color w:val="000000"/>
          <w:spacing w:val="-3"/>
          <w:sz w:val="14"/>
          <w:szCs w:val="14"/>
        </w:rPr>
        <w:t>Laboratory Medicine.</w:t>
      </w:r>
      <w:r w:rsidRPr="002B2DD7">
        <w:rPr>
          <w:rFonts w:ascii="Arial" w:hAnsi="Arial" w:cs="Arial"/>
          <w:color w:val="000000"/>
          <w:spacing w:val="-3"/>
          <w:sz w:val="14"/>
          <w:szCs w:val="14"/>
        </w:rPr>
        <w:t xml:space="preserve"> Vol 1. Hagerstown (MD): Harper and Row, Inc.; 1979. </w:t>
      </w:r>
    </w:p>
    <w:p w14:paraId="46E0AE1E" w14:textId="79D47C65"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4.</w:t>
      </w:r>
      <w:r w:rsidRPr="002B2DD7">
        <w:rPr>
          <w:rFonts w:ascii="Arial" w:hAnsi="Arial" w:cs="Arial"/>
          <w:color w:val="000000"/>
          <w:spacing w:val="-3"/>
          <w:sz w:val="14"/>
          <w:szCs w:val="14"/>
        </w:rPr>
        <w:tab/>
      </w:r>
      <w:proofErr w:type="spellStart"/>
      <w:r w:rsidRPr="002B2DD7">
        <w:rPr>
          <w:rFonts w:ascii="Arial" w:hAnsi="Arial" w:cs="Arial"/>
          <w:color w:val="000000"/>
          <w:spacing w:val="-3"/>
          <w:sz w:val="14"/>
          <w:szCs w:val="14"/>
        </w:rPr>
        <w:t>Tietz</w:t>
      </w:r>
      <w:proofErr w:type="spellEnd"/>
      <w:r w:rsidRPr="002B2DD7">
        <w:rPr>
          <w:rFonts w:ascii="Arial" w:hAnsi="Arial" w:cs="Arial"/>
          <w:color w:val="000000"/>
          <w:spacing w:val="-3"/>
          <w:sz w:val="14"/>
          <w:szCs w:val="14"/>
        </w:rPr>
        <w:t xml:space="preserve"> NW, ed. In: </w:t>
      </w:r>
      <w:r w:rsidRPr="002B2DD7">
        <w:rPr>
          <w:rFonts w:ascii="Arial" w:hAnsi="Arial" w:cs="Arial"/>
          <w:i/>
          <w:iCs/>
          <w:color w:val="000000"/>
          <w:spacing w:val="-3"/>
          <w:sz w:val="14"/>
          <w:szCs w:val="14"/>
        </w:rPr>
        <w:t>Textbook of Clinical Chemistry.</w:t>
      </w:r>
      <w:r w:rsidRPr="002B2DD7">
        <w:rPr>
          <w:rFonts w:ascii="Arial" w:hAnsi="Arial" w:cs="Arial"/>
          <w:color w:val="000000"/>
          <w:spacing w:val="-3"/>
          <w:sz w:val="14"/>
          <w:szCs w:val="14"/>
        </w:rPr>
        <w:t xml:space="preserve"> Philadelphia (PA): WB Saunders Company; 1986:579-582. </w:t>
      </w:r>
    </w:p>
    <w:p w14:paraId="34849362" w14:textId="67B52B5F"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5.</w:t>
      </w:r>
      <w:r w:rsidRPr="002B2DD7">
        <w:rPr>
          <w:rFonts w:ascii="Arial" w:hAnsi="Arial" w:cs="Arial"/>
          <w:color w:val="000000"/>
          <w:spacing w:val="-3"/>
          <w:sz w:val="14"/>
          <w:szCs w:val="14"/>
        </w:rPr>
        <w:tab/>
      </w:r>
      <w:proofErr w:type="spellStart"/>
      <w:r w:rsidRPr="002B2DD7">
        <w:rPr>
          <w:rFonts w:ascii="Arial" w:hAnsi="Arial" w:cs="Arial"/>
          <w:color w:val="000000"/>
          <w:spacing w:val="-3"/>
          <w:sz w:val="14"/>
          <w:szCs w:val="14"/>
        </w:rPr>
        <w:t>Ritzmann</w:t>
      </w:r>
      <w:proofErr w:type="spellEnd"/>
      <w:r w:rsidRPr="002B2DD7">
        <w:rPr>
          <w:rFonts w:ascii="Arial" w:hAnsi="Arial" w:cs="Arial"/>
          <w:color w:val="000000"/>
          <w:spacing w:val="-3"/>
          <w:sz w:val="14"/>
          <w:szCs w:val="14"/>
        </w:rPr>
        <w:t xml:space="preserve"> SE, ed. </w:t>
      </w:r>
      <w:r w:rsidRPr="002B2DD7">
        <w:rPr>
          <w:rFonts w:ascii="Arial" w:hAnsi="Arial" w:cs="Arial"/>
          <w:i/>
          <w:iCs/>
          <w:color w:val="000000"/>
          <w:spacing w:val="-3"/>
          <w:sz w:val="14"/>
          <w:szCs w:val="14"/>
        </w:rPr>
        <w:t>Protein Abnormalities, Volume 1. Physiology of Immunoglobulins: Diagnostic and Clinical Aspects.</w:t>
      </w:r>
      <w:r w:rsidRPr="002B2DD7">
        <w:rPr>
          <w:rFonts w:ascii="Arial" w:hAnsi="Arial" w:cs="Arial"/>
          <w:color w:val="000000"/>
          <w:spacing w:val="-3"/>
          <w:sz w:val="14"/>
          <w:szCs w:val="14"/>
        </w:rPr>
        <w:t xml:space="preserve"> New York (NY): Allen R. </w:t>
      </w:r>
      <w:proofErr w:type="spellStart"/>
      <w:r w:rsidRPr="002B2DD7">
        <w:rPr>
          <w:rFonts w:ascii="Arial" w:hAnsi="Arial" w:cs="Arial"/>
          <w:color w:val="000000"/>
          <w:spacing w:val="-3"/>
          <w:sz w:val="14"/>
          <w:szCs w:val="14"/>
        </w:rPr>
        <w:t>Liss</w:t>
      </w:r>
      <w:proofErr w:type="spellEnd"/>
      <w:r w:rsidRPr="002B2DD7">
        <w:rPr>
          <w:rFonts w:ascii="Arial" w:hAnsi="Arial" w:cs="Arial"/>
          <w:color w:val="000000"/>
          <w:spacing w:val="-3"/>
          <w:sz w:val="14"/>
          <w:szCs w:val="14"/>
        </w:rPr>
        <w:t>; 1982.</w:t>
      </w:r>
    </w:p>
    <w:p w14:paraId="5D16F250" w14:textId="2C4DBEF1"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6.</w:t>
      </w:r>
      <w:r w:rsidRPr="002B2DD7">
        <w:rPr>
          <w:rFonts w:ascii="Arial" w:hAnsi="Arial" w:cs="Arial"/>
          <w:color w:val="000000"/>
          <w:spacing w:val="-3"/>
          <w:sz w:val="14"/>
          <w:szCs w:val="14"/>
        </w:rPr>
        <w:tab/>
        <w:t xml:space="preserve">Keren DF. </w:t>
      </w:r>
      <w:r w:rsidRPr="002B2DD7">
        <w:rPr>
          <w:rFonts w:ascii="Arial" w:hAnsi="Arial" w:cs="Arial"/>
          <w:i/>
          <w:iCs/>
          <w:color w:val="000000"/>
          <w:spacing w:val="-3"/>
          <w:sz w:val="14"/>
          <w:szCs w:val="14"/>
        </w:rPr>
        <w:t>Protein Electrophoresis in Clinical Diagnosis.</w:t>
      </w:r>
      <w:r w:rsidRPr="002B2DD7">
        <w:rPr>
          <w:rFonts w:ascii="Arial" w:hAnsi="Arial" w:cs="Arial"/>
          <w:color w:val="000000"/>
          <w:spacing w:val="-3"/>
          <w:sz w:val="14"/>
          <w:szCs w:val="14"/>
        </w:rPr>
        <w:t xml:space="preserve"> London: Edward Arnold; 2003.</w:t>
      </w:r>
    </w:p>
    <w:p w14:paraId="545ACD7D" w14:textId="3DA2FED0"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7.</w:t>
      </w:r>
      <w:r w:rsidRPr="002B2DD7">
        <w:rPr>
          <w:rFonts w:ascii="Arial" w:hAnsi="Arial" w:cs="Arial"/>
          <w:color w:val="000000"/>
          <w:spacing w:val="-3"/>
          <w:sz w:val="14"/>
          <w:szCs w:val="14"/>
        </w:rPr>
        <w:tab/>
        <w:t xml:space="preserve">Chen LYC, </w:t>
      </w:r>
      <w:proofErr w:type="spellStart"/>
      <w:r w:rsidRPr="002B2DD7">
        <w:rPr>
          <w:rFonts w:ascii="Arial" w:hAnsi="Arial" w:cs="Arial"/>
          <w:color w:val="000000"/>
          <w:spacing w:val="-3"/>
          <w:sz w:val="14"/>
          <w:szCs w:val="14"/>
        </w:rPr>
        <w:t>Mattman</w:t>
      </w:r>
      <w:proofErr w:type="spellEnd"/>
      <w:r w:rsidRPr="002B2DD7">
        <w:rPr>
          <w:rFonts w:ascii="Arial" w:hAnsi="Arial" w:cs="Arial"/>
          <w:color w:val="000000"/>
          <w:spacing w:val="-3"/>
          <w:sz w:val="14"/>
          <w:szCs w:val="14"/>
        </w:rPr>
        <w:t xml:space="preserve"> A, Seidman MA, Carruthers MN. IgG4-related disease: What a hematologist needs to know. </w:t>
      </w:r>
      <w:proofErr w:type="spellStart"/>
      <w:r w:rsidRPr="002B2DD7">
        <w:rPr>
          <w:rFonts w:ascii="Arial" w:hAnsi="Arial" w:cs="Arial"/>
          <w:i/>
          <w:iCs/>
          <w:color w:val="000000"/>
          <w:spacing w:val="-3"/>
          <w:sz w:val="14"/>
          <w:szCs w:val="14"/>
        </w:rPr>
        <w:t>Haematologica</w:t>
      </w:r>
      <w:proofErr w:type="spellEnd"/>
      <w:r w:rsidRPr="002B2DD7">
        <w:rPr>
          <w:rFonts w:ascii="Arial" w:hAnsi="Arial" w:cs="Arial"/>
          <w:color w:val="000000"/>
          <w:spacing w:val="-3"/>
          <w:sz w:val="14"/>
          <w:szCs w:val="14"/>
        </w:rPr>
        <w:t xml:space="preserve">. 2019;104(3):444-455. </w:t>
      </w:r>
    </w:p>
    <w:p w14:paraId="3A8A19DD" w14:textId="3116548B"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8.</w:t>
      </w:r>
      <w:r w:rsidRPr="002B2DD7">
        <w:rPr>
          <w:rFonts w:ascii="Arial" w:hAnsi="Arial" w:cs="Arial"/>
          <w:color w:val="000000"/>
          <w:spacing w:val="-3"/>
          <w:sz w:val="14"/>
          <w:szCs w:val="14"/>
        </w:rPr>
        <w:tab/>
      </w:r>
      <w:proofErr w:type="spellStart"/>
      <w:r w:rsidRPr="002B2DD7">
        <w:rPr>
          <w:rFonts w:ascii="Arial" w:hAnsi="Arial" w:cs="Arial"/>
          <w:color w:val="000000"/>
          <w:spacing w:val="-3"/>
          <w:sz w:val="14"/>
          <w:szCs w:val="14"/>
        </w:rPr>
        <w:t>Hrkal</w:t>
      </w:r>
      <w:proofErr w:type="spellEnd"/>
      <w:r w:rsidRPr="002B2DD7">
        <w:rPr>
          <w:rFonts w:ascii="Arial" w:hAnsi="Arial" w:cs="Arial"/>
          <w:color w:val="000000"/>
          <w:spacing w:val="-3"/>
          <w:sz w:val="14"/>
          <w:szCs w:val="14"/>
        </w:rPr>
        <w:t xml:space="preserve"> Z, </w:t>
      </w:r>
      <w:proofErr w:type="spellStart"/>
      <w:r w:rsidRPr="002B2DD7">
        <w:rPr>
          <w:rFonts w:ascii="Arial" w:hAnsi="Arial" w:cs="Arial"/>
          <w:color w:val="000000"/>
          <w:spacing w:val="-3"/>
          <w:sz w:val="14"/>
          <w:szCs w:val="14"/>
        </w:rPr>
        <w:t>Kuzelová</w:t>
      </w:r>
      <w:proofErr w:type="spellEnd"/>
      <w:r w:rsidRPr="002B2DD7">
        <w:rPr>
          <w:rFonts w:ascii="Arial" w:hAnsi="Arial" w:cs="Arial"/>
          <w:color w:val="000000"/>
          <w:spacing w:val="-3"/>
          <w:sz w:val="14"/>
          <w:szCs w:val="14"/>
        </w:rPr>
        <w:t xml:space="preserve"> K, Muller-Eberhard U, Stern R. Hyaluronan-binding properties of human serum hemopexin. </w:t>
      </w:r>
      <w:r w:rsidRPr="002B2DD7">
        <w:rPr>
          <w:rFonts w:ascii="Arial" w:hAnsi="Arial" w:cs="Arial"/>
          <w:i/>
          <w:iCs/>
          <w:color w:val="000000"/>
          <w:spacing w:val="-3"/>
          <w:sz w:val="14"/>
          <w:szCs w:val="14"/>
        </w:rPr>
        <w:t>FEBS Letters</w:t>
      </w:r>
      <w:r w:rsidRPr="002B2DD7">
        <w:rPr>
          <w:rFonts w:ascii="Arial" w:hAnsi="Arial" w:cs="Arial"/>
          <w:color w:val="000000"/>
          <w:spacing w:val="-3"/>
          <w:sz w:val="14"/>
          <w:szCs w:val="14"/>
        </w:rPr>
        <w:t xml:space="preserve">. 1996;383(1-2):72-74. </w:t>
      </w:r>
    </w:p>
    <w:p w14:paraId="5F0F0AE0" w14:textId="40B63050"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9.</w:t>
      </w:r>
      <w:r w:rsidRPr="002B2DD7">
        <w:rPr>
          <w:rFonts w:ascii="Arial" w:hAnsi="Arial" w:cs="Arial"/>
          <w:color w:val="000000"/>
          <w:spacing w:val="-3"/>
          <w:sz w:val="14"/>
          <w:szCs w:val="14"/>
        </w:rPr>
        <w:tab/>
      </w:r>
      <w:proofErr w:type="spellStart"/>
      <w:r w:rsidRPr="002B2DD7">
        <w:rPr>
          <w:rFonts w:ascii="Arial" w:hAnsi="Arial" w:cs="Arial"/>
          <w:color w:val="000000"/>
          <w:spacing w:val="-3"/>
          <w:sz w:val="14"/>
          <w:szCs w:val="14"/>
        </w:rPr>
        <w:t>Lakshminarayanan</w:t>
      </w:r>
      <w:proofErr w:type="spellEnd"/>
      <w:r w:rsidRPr="002B2DD7">
        <w:rPr>
          <w:rFonts w:ascii="Arial" w:hAnsi="Arial" w:cs="Arial"/>
          <w:color w:val="000000"/>
          <w:spacing w:val="-3"/>
          <w:sz w:val="14"/>
          <w:szCs w:val="14"/>
        </w:rPr>
        <w:t xml:space="preserve"> R, Li Y, </w:t>
      </w:r>
      <w:proofErr w:type="spellStart"/>
      <w:r w:rsidRPr="002B2DD7">
        <w:rPr>
          <w:rFonts w:ascii="Arial" w:hAnsi="Arial" w:cs="Arial"/>
          <w:color w:val="000000"/>
          <w:spacing w:val="-3"/>
          <w:sz w:val="14"/>
          <w:szCs w:val="14"/>
        </w:rPr>
        <w:t>Janatpour</w:t>
      </w:r>
      <w:proofErr w:type="spellEnd"/>
      <w:r w:rsidRPr="002B2DD7">
        <w:rPr>
          <w:rFonts w:ascii="Arial" w:hAnsi="Arial" w:cs="Arial"/>
          <w:color w:val="000000"/>
          <w:spacing w:val="-3"/>
          <w:sz w:val="14"/>
          <w:szCs w:val="14"/>
        </w:rPr>
        <w:t xml:space="preserve"> K, Beckett L, </w:t>
      </w:r>
      <w:proofErr w:type="spellStart"/>
      <w:r w:rsidRPr="002B2DD7">
        <w:rPr>
          <w:rFonts w:ascii="Arial" w:hAnsi="Arial" w:cs="Arial"/>
          <w:color w:val="000000"/>
          <w:spacing w:val="-3"/>
          <w:sz w:val="14"/>
          <w:szCs w:val="14"/>
        </w:rPr>
        <w:t>Jialal</w:t>
      </w:r>
      <w:proofErr w:type="spellEnd"/>
      <w:r w:rsidRPr="002B2DD7">
        <w:rPr>
          <w:rFonts w:ascii="Arial" w:hAnsi="Arial" w:cs="Arial"/>
          <w:color w:val="000000"/>
          <w:spacing w:val="-3"/>
          <w:sz w:val="14"/>
          <w:szCs w:val="14"/>
        </w:rPr>
        <w:t xml:space="preserve"> I. Detection by immunofixation of M proteins in </w:t>
      </w:r>
      <w:proofErr w:type="spellStart"/>
      <w:r w:rsidRPr="002B2DD7">
        <w:rPr>
          <w:rFonts w:ascii="Arial" w:hAnsi="Arial" w:cs="Arial"/>
          <w:color w:val="000000"/>
          <w:spacing w:val="-3"/>
          <w:sz w:val="14"/>
          <w:szCs w:val="14"/>
        </w:rPr>
        <w:t>hypogammaglobulinemic</w:t>
      </w:r>
      <w:proofErr w:type="spellEnd"/>
      <w:r w:rsidRPr="002B2DD7">
        <w:rPr>
          <w:rFonts w:ascii="Arial" w:hAnsi="Arial" w:cs="Arial"/>
          <w:color w:val="000000"/>
          <w:spacing w:val="-3"/>
          <w:sz w:val="14"/>
          <w:szCs w:val="14"/>
        </w:rPr>
        <w:t xml:space="preserve"> patients with normal serum protein electrophoresis results. </w:t>
      </w:r>
      <w:r w:rsidRPr="002B2DD7">
        <w:rPr>
          <w:rFonts w:ascii="Arial" w:hAnsi="Arial" w:cs="Arial"/>
          <w:i/>
          <w:iCs/>
          <w:color w:val="000000"/>
          <w:spacing w:val="-3"/>
          <w:sz w:val="14"/>
          <w:szCs w:val="14"/>
        </w:rPr>
        <w:t xml:space="preserve">American Journal of Clinical Pathology. </w:t>
      </w:r>
      <w:r w:rsidRPr="002B2DD7">
        <w:rPr>
          <w:rFonts w:ascii="Arial" w:hAnsi="Arial" w:cs="Arial"/>
          <w:color w:val="000000"/>
          <w:spacing w:val="-3"/>
          <w:sz w:val="14"/>
          <w:szCs w:val="14"/>
        </w:rPr>
        <w:t xml:space="preserve">2007;127(5):746-751. </w:t>
      </w:r>
    </w:p>
    <w:p w14:paraId="5F211A2D" w14:textId="28684268"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10.</w:t>
      </w:r>
      <w:r w:rsidRPr="002B2DD7">
        <w:rPr>
          <w:rFonts w:ascii="Arial" w:hAnsi="Arial" w:cs="Arial"/>
          <w:color w:val="000000"/>
          <w:spacing w:val="-3"/>
          <w:sz w:val="14"/>
          <w:szCs w:val="14"/>
        </w:rPr>
        <w:tab/>
        <w:t xml:space="preserve">Kyle RA, Gertz MA, </w:t>
      </w:r>
      <w:proofErr w:type="spellStart"/>
      <w:r w:rsidRPr="002B2DD7">
        <w:rPr>
          <w:rFonts w:ascii="Arial" w:hAnsi="Arial" w:cs="Arial"/>
          <w:color w:val="000000"/>
          <w:spacing w:val="-3"/>
          <w:sz w:val="14"/>
          <w:szCs w:val="14"/>
        </w:rPr>
        <w:t>Witzig</w:t>
      </w:r>
      <w:proofErr w:type="spellEnd"/>
      <w:r w:rsidRPr="002B2DD7">
        <w:rPr>
          <w:rFonts w:ascii="Arial" w:hAnsi="Arial" w:cs="Arial"/>
          <w:color w:val="000000"/>
          <w:spacing w:val="-3"/>
          <w:sz w:val="14"/>
          <w:szCs w:val="14"/>
        </w:rPr>
        <w:t xml:space="preserve"> TE, et al. Review of 1027 patients with newly diagnosed multiple myeloma. </w:t>
      </w:r>
      <w:r w:rsidRPr="002B2DD7">
        <w:rPr>
          <w:rFonts w:ascii="Arial" w:hAnsi="Arial" w:cs="Arial"/>
          <w:i/>
          <w:iCs/>
          <w:color w:val="000000"/>
          <w:spacing w:val="-3"/>
          <w:sz w:val="14"/>
          <w:szCs w:val="14"/>
        </w:rPr>
        <w:t>Mayo Clinic Proceedings.</w:t>
      </w:r>
      <w:r w:rsidRPr="002B2DD7">
        <w:rPr>
          <w:rFonts w:ascii="Arial" w:hAnsi="Arial" w:cs="Arial"/>
          <w:color w:val="000000"/>
          <w:spacing w:val="-3"/>
          <w:sz w:val="14"/>
          <w:szCs w:val="14"/>
        </w:rPr>
        <w:t xml:space="preserve"> 2003;78(1):21-33. </w:t>
      </w:r>
    </w:p>
    <w:p w14:paraId="13F61248" w14:textId="42C86559"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11.</w:t>
      </w:r>
      <w:r w:rsidRPr="002B2DD7">
        <w:rPr>
          <w:rFonts w:ascii="Arial" w:hAnsi="Arial" w:cs="Arial"/>
          <w:color w:val="000000"/>
          <w:spacing w:val="-3"/>
          <w:sz w:val="14"/>
          <w:szCs w:val="14"/>
        </w:rPr>
        <w:tab/>
        <w:t xml:space="preserve">Mills JR, Murray DL. Identification of friend or Foe: The Laboratory Challenge of Differentiating M-proteins from Monoclonal Antibody Therapies. </w:t>
      </w:r>
      <w:r w:rsidRPr="002B2DD7">
        <w:rPr>
          <w:rFonts w:ascii="Arial" w:hAnsi="Arial" w:cs="Arial"/>
          <w:i/>
          <w:iCs/>
          <w:color w:val="000000"/>
          <w:spacing w:val="-3"/>
          <w:sz w:val="14"/>
          <w:szCs w:val="14"/>
        </w:rPr>
        <w:t>The Journal of Applied Laboratory Medicine.</w:t>
      </w:r>
      <w:r w:rsidRPr="002B2DD7">
        <w:rPr>
          <w:rFonts w:ascii="Arial" w:hAnsi="Arial" w:cs="Arial"/>
          <w:color w:val="000000"/>
          <w:spacing w:val="-3"/>
          <w:sz w:val="14"/>
          <w:szCs w:val="14"/>
        </w:rPr>
        <w:t xml:space="preserve"> 2017;1(4):421-431. </w:t>
      </w:r>
    </w:p>
    <w:p w14:paraId="62281724" w14:textId="1CE4F1CF"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12.</w:t>
      </w:r>
      <w:r w:rsidRPr="002B2DD7">
        <w:rPr>
          <w:rFonts w:ascii="Arial" w:hAnsi="Arial" w:cs="Arial"/>
          <w:color w:val="000000"/>
          <w:spacing w:val="-3"/>
          <w:sz w:val="14"/>
          <w:szCs w:val="14"/>
        </w:rPr>
        <w:tab/>
        <w:t xml:space="preserve">Keren DF. Therapeutic Complications: A Caveat for M-protein detection. </w:t>
      </w:r>
      <w:r w:rsidRPr="002B2DD7">
        <w:rPr>
          <w:rFonts w:ascii="Arial" w:hAnsi="Arial" w:cs="Arial"/>
          <w:i/>
          <w:iCs/>
          <w:color w:val="000000"/>
          <w:spacing w:val="-3"/>
          <w:sz w:val="14"/>
          <w:szCs w:val="14"/>
        </w:rPr>
        <w:t>The Journal of Applied Laboratory Medicine.</w:t>
      </w:r>
      <w:r w:rsidRPr="002B2DD7">
        <w:rPr>
          <w:rFonts w:ascii="Arial" w:hAnsi="Arial" w:cs="Arial"/>
          <w:color w:val="000000"/>
          <w:spacing w:val="-3"/>
          <w:sz w:val="14"/>
          <w:szCs w:val="14"/>
        </w:rPr>
        <w:t xml:space="preserve"> 2017;1(4):342-345. </w:t>
      </w:r>
    </w:p>
    <w:p w14:paraId="370CA8C1" w14:textId="161D49F3"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13.</w:t>
      </w:r>
      <w:r w:rsidRPr="002B2DD7">
        <w:rPr>
          <w:rFonts w:ascii="Arial" w:hAnsi="Arial" w:cs="Arial"/>
          <w:color w:val="000000"/>
          <w:spacing w:val="-3"/>
          <w:sz w:val="14"/>
          <w:szCs w:val="14"/>
        </w:rPr>
        <w:tab/>
      </w:r>
      <w:proofErr w:type="spellStart"/>
      <w:r w:rsidRPr="002B2DD7">
        <w:rPr>
          <w:rFonts w:ascii="Arial" w:hAnsi="Arial" w:cs="Arial"/>
          <w:color w:val="000000"/>
          <w:spacing w:val="-3"/>
          <w:sz w:val="14"/>
          <w:szCs w:val="14"/>
        </w:rPr>
        <w:t>McCudden</w:t>
      </w:r>
      <w:proofErr w:type="spellEnd"/>
      <w:r w:rsidRPr="002B2DD7">
        <w:rPr>
          <w:rFonts w:ascii="Arial" w:hAnsi="Arial" w:cs="Arial"/>
          <w:color w:val="000000"/>
          <w:spacing w:val="-3"/>
          <w:sz w:val="14"/>
          <w:szCs w:val="14"/>
        </w:rPr>
        <w:t xml:space="preserve"> CR, Jacobs JFM, Keren D, </w:t>
      </w:r>
      <w:proofErr w:type="spellStart"/>
      <w:r w:rsidRPr="002B2DD7">
        <w:rPr>
          <w:rFonts w:ascii="Arial" w:hAnsi="Arial" w:cs="Arial"/>
          <w:color w:val="000000"/>
          <w:spacing w:val="-3"/>
          <w:sz w:val="14"/>
          <w:szCs w:val="14"/>
        </w:rPr>
        <w:t>Caillon</w:t>
      </w:r>
      <w:proofErr w:type="spellEnd"/>
      <w:r w:rsidRPr="002B2DD7">
        <w:rPr>
          <w:rFonts w:ascii="Arial" w:hAnsi="Arial" w:cs="Arial"/>
          <w:color w:val="000000"/>
          <w:spacing w:val="-3"/>
          <w:sz w:val="14"/>
          <w:szCs w:val="14"/>
        </w:rPr>
        <w:t xml:space="preserve"> H, </w:t>
      </w:r>
      <w:proofErr w:type="spellStart"/>
      <w:r w:rsidRPr="002B2DD7">
        <w:rPr>
          <w:rFonts w:ascii="Arial" w:hAnsi="Arial" w:cs="Arial"/>
          <w:color w:val="000000"/>
          <w:spacing w:val="-3"/>
          <w:sz w:val="14"/>
          <w:szCs w:val="14"/>
        </w:rPr>
        <w:t>Dejoie</w:t>
      </w:r>
      <w:proofErr w:type="spellEnd"/>
      <w:r w:rsidRPr="002B2DD7">
        <w:rPr>
          <w:rFonts w:ascii="Arial" w:hAnsi="Arial" w:cs="Arial"/>
          <w:color w:val="000000"/>
          <w:spacing w:val="-3"/>
          <w:sz w:val="14"/>
          <w:szCs w:val="14"/>
        </w:rPr>
        <w:t xml:space="preserve"> T, Andersen K. Recognition and management of common, rare, and novel serum protein electrophoresis and immunofixation interferences. </w:t>
      </w:r>
      <w:r w:rsidRPr="002B2DD7">
        <w:rPr>
          <w:rFonts w:ascii="Arial" w:hAnsi="Arial" w:cs="Arial"/>
          <w:i/>
          <w:iCs/>
          <w:color w:val="000000"/>
          <w:spacing w:val="-3"/>
          <w:sz w:val="14"/>
          <w:szCs w:val="14"/>
        </w:rPr>
        <w:t>Clinical Biochemistry.</w:t>
      </w:r>
      <w:r w:rsidRPr="002B2DD7">
        <w:rPr>
          <w:rFonts w:ascii="Arial" w:hAnsi="Arial" w:cs="Arial"/>
          <w:color w:val="000000"/>
          <w:spacing w:val="-3"/>
          <w:sz w:val="14"/>
          <w:szCs w:val="14"/>
        </w:rPr>
        <w:t xml:space="preserve"> </w:t>
      </w:r>
      <w:proofErr w:type="gramStart"/>
      <w:r w:rsidRPr="002B2DD7">
        <w:rPr>
          <w:rFonts w:ascii="Arial" w:hAnsi="Arial" w:cs="Arial"/>
          <w:color w:val="000000"/>
          <w:spacing w:val="-3"/>
          <w:sz w:val="14"/>
          <w:szCs w:val="14"/>
        </w:rPr>
        <w:t>2018;51:72</w:t>
      </w:r>
      <w:proofErr w:type="gramEnd"/>
      <w:r w:rsidRPr="002B2DD7">
        <w:rPr>
          <w:rFonts w:ascii="Arial" w:hAnsi="Arial" w:cs="Arial"/>
          <w:color w:val="000000"/>
          <w:spacing w:val="-3"/>
          <w:sz w:val="14"/>
          <w:szCs w:val="14"/>
        </w:rPr>
        <w:t xml:space="preserve">-79. </w:t>
      </w:r>
    </w:p>
    <w:p w14:paraId="7BB2C46F" w14:textId="7CAAA825"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2B2DD7">
        <w:rPr>
          <w:rFonts w:ascii="Arial" w:hAnsi="Arial" w:cs="Arial"/>
          <w:color w:val="000000"/>
          <w:spacing w:val="-3"/>
          <w:sz w:val="14"/>
          <w:szCs w:val="14"/>
        </w:rPr>
        <w:tab/>
        <w:t>14.</w:t>
      </w:r>
      <w:r w:rsidRPr="002B2DD7">
        <w:rPr>
          <w:rFonts w:ascii="Arial" w:hAnsi="Arial" w:cs="Arial"/>
          <w:color w:val="000000"/>
          <w:spacing w:val="-3"/>
          <w:sz w:val="14"/>
          <w:szCs w:val="14"/>
        </w:rPr>
        <w:tab/>
        <w:t xml:space="preserve">Strobel SL. The incidence and significance of </w:t>
      </w:r>
      <w:proofErr w:type="spellStart"/>
      <w:r w:rsidRPr="002B2DD7">
        <w:rPr>
          <w:rFonts w:ascii="Arial" w:hAnsi="Arial" w:cs="Arial"/>
          <w:color w:val="000000"/>
          <w:spacing w:val="-3"/>
          <w:sz w:val="14"/>
          <w:szCs w:val="14"/>
        </w:rPr>
        <w:t>pseudoparaproteins</w:t>
      </w:r>
      <w:proofErr w:type="spellEnd"/>
      <w:r w:rsidRPr="002B2DD7">
        <w:rPr>
          <w:rFonts w:ascii="Arial" w:hAnsi="Arial" w:cs="Arial"/>
          <w:color w:val="000000"/>
          <w:spacing w:val="-3"/>
          <w:sz w:val="14"/>
          <w:szCs w:val="14"/>
        </w:rPr>
        <w:t xml:space="preserve"> in a community hospital. </w:t>
      </w:r>
      <w:r w:rsidRPr="002B2DD7">
        <w:rPr>
          <w:rFonts w:ascii="Arial" w:hAnsi="Arial" w:cs="Arial"/>
          <w:i/>
          <w:iCs/>
          <w:color w:val="000000"/>
          <w:spacing w:val="-3"/>
          <w:sz w:val="14"/>
          <w:szCs w:val="14"/>
        </w:rPr>
        <w:t>Ann Clin Lab Sci.</w:t>
      </w:r>
      <w:r w:rsidRPr="002B2DD7">
        <w:rPr>
          <w:rFonts w:ascii="Arial" w:hAnsi="Arial" w:cs="Arial"/>
          <w:color w:val="000000"/>
          <w:spacing w:val="-3"/>
          <w:sz w:val="14"/>
          <w:szCs w:val="14"/>
        </w:rPr>
        <w:t xml:space="preserve"> 2000;30(3):289-294.</w:t>
      </w:r>
    </w:p>
    <w:p w14:paraId="1426CBBD" w14:textId="77777777" w:rsidR="002B2DD7" w:rsidRPr="002B2DD7" w:rsidRDefault="002B2DD7" w:rsidP="002B2DD7">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6"/>
          <w:szCs w:val="16"/>
        </w:rPr>
      </w:pPr>
    </w:p>
    <w:p w14:paraId="2F62DD6A"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6"/>
          <w:szCs w:val="16"/>
        </w:rPr>
      </w:pPr>
      <w:r w:rsidRPr="002B2DD7">
        <w:rPr>
          <w:rFonts w:ascii="Arial" w:hAnsi="Arial" w:cs="Arial"/>
          <w:color w:val="000000"/>
          <w:spacing w:val="-3"/>
          <w:sz w:val="16"/>
          <w:szCs w:val="16"/>
        </w:rPr>
        <w:t>For Sales, Technical and Order Information and Service Assistance, call 800-231-5663 toll free.</w:t>
      </w:r>
    </w:p>
    <w:p w14:paraId="7ED4F77B"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r w:rsidRPr="002B2DD7">
        <w:rPr>
          <w:rFonts w:ascii="Arial" w:hAnsi="Arial" w:cs="Arial"/>
          <w:color w:val="000000"/>
          <w:spacing w:val="-3"/>
          <w:sz w:val="12"/>
          <w:szCs w:val="12"/>
        </w:rPr>
        <w:lastRenderedPageBreak/>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4B2730EE"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r w:rsidRPr="002B2DD7">
        <w:rPr>
          <w:rFonts w:ascii="Arial" w:hAnsi="Arial" w:cs="Arial"/>
          <w:color w:val="000000"/>
          <w:spacing w:val="-3"/>
          <w:sz w:val="12"/>
          <w:szCs w:val="12"/>
        </w:rPr>
        <w:t>In no case will Helena Laboratories be liable for consequential damages even if Helena has been advised as to the possibility of such damages.</w:t>
      </w:r>
    </w:p>
    <w:p w14:paraId="398CEF0E"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r w:rsidRPr="002B2DD7">
        <w:rPr>
          <w:rFonts w:ascii="Arial" w:hAnsi="Arial" w:cs="Arial"/>
          <w:color w:val="000000"/>
          <w:spacing w:val="-3"/>
          <w:sz w:val="12"/>
          <w:szCs w:val="12"/>
        </w:rPr>
        <w:t>The foregoing warranties are in lieu of all warranties expressed or implied including, but not limited to, the implied warranties of merchantability and fitness for a particular purpose.</w:t>
      </w:r>
    </w:p>
    <w:p w14:paraId="6EBBC8B2" w14:textId="77777777" w:rsidR="002B2DD7" w:rsidRPr="002B2DD7" w:rsidRDefault="002B2DD7" w:rsidP="002B2DD7">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6"/>
          <w:szCs w:val="16"/>
        </w:rPr>
      </w:pPr>
    </w:p>
    <w:p w14:paraId="350F41FC" w14:textId="77777777" w:rsidR="002B2DD7" w:rsidRPr="002B2DD7" w:rsidRDefault="002B2DD7" w:rsidP="002B2DD7">
      <w:pPr>
        <w:tabs>
          <w:tab w:val="left" w:pos="249"/>
          <w:tab w:val="left" w:pos="1656"/>
          <w:tab w:val="left" w:pos="2581"/>
          <w:tab w:val="left" w:pos="3577"/>
          <w:tab w:val="left" w:pos="4161"/>
          <w:tab w:val="left" w:pos="4393"/>
        </w:tabs>
        <w:autoSpaceDE w:val="0"/>
        <w:autoSpaceDN w:val="0"/>
        <w:adjustRightInd w:val="0"/>
        <w:spacing w:line="288" w:lineRule="auto"/>
        <w:jc w:val="both"/>
        <w:textAlignment w:val="center"/>
        <w:rPr>
          <w:rFonts w:ascii="Arial" w:hAnsi="Arial" w:cs="Arial"/>
          <w:color w:val="000000"/>
          <w:sz w:val="18"/>
          <w:szCs w:val="18"/>
        </w:rPr>
      </w:pPr>
      <w:r w:rsidRPr="002B2DD7">
        <w:rPr>
          <w:rFonts w:ascii="Arial" w:hAnsi="Arial" w:cs="Arial"/>
          <w:color w:val="000000"/>
          <w:sz w:val="18"/>
          <w:szCs w:val="18"/>
        </w:rPr>
        <w:t>© 2023 Helena Laboratories, Corp.</w:t>
      </w:r>
    </w:p>
    <w:p w14:paraId="2C68CB80" w14:textId="77777777" w:rsidR="001D67FA" w:rsidRPr="007D057B" w:rsidRDefault="001D67FA" w:rsidP="00D9228C">
      <w:pPr>
        <w:rPr>
          <w:rFonts w:ascii="Arial" w:hAnsi="Arial" w:cs="Arial"/>
          <w:sz w:val="12"/>
          <w:szCs w:val="12"/>
        </w:rPr>
      </w:pPr>
    </w:p>
    <w:p w14:paraId="4B53BA60" w14:textId="77777777" w:rsidR="001D67FA" w:rsidRPr="007D057B" w:rsidRDefault="001D67FA" w:rsidP="00D9228C">
      <w:pPr>
        <w:rPr>
          <w:rFonts w:ascii="Arial" w:hAnsi="Arial" w:cs="Arial"/>
          <w:sz w:val="12"/>
          <w:szCs w:val="12"/>
        </w:rPr>
      </w:pPr>
    </w:p>
    <w:p w14:paraId="6621DCA6" w14:textId="3872F371" w:rsidR="001D67FA" w:rsidRPr="007D057B" w:rsidRDefault="00D6505D" w:rsidP="00DE5908">
      <w:pPr>
        <w:jc w:val="right"/>
        <w:rPr>
          <w:rFonts w:ascii="Arial" w:hAnsi="Arial" w:cs="Arial"/>
          <w:sz w:val="12"/>
          <w:szCs w:val="12"/>
        </w:rPr>
      </w:pPr>
      <w:r w:rsidRPr="007D057B">
        <w:rPr>
          <w:rFonts w:ascii="Arial" w:hAnsi="Arial" w:cs="Arial"/>
          <w:sz w:val="12"/>
          <w:szCs w:val="12"/>
        </w:rPr>
        <w:t xml:space="preserve">Pro. </w:t>
      </w:r>
      <w:r w:rsidR="00AE078F">
        <w:rPr>
          <w:rFonts w:ascii="Arial" w:hAnsi="Arial" w:cs="Arial"/>
          <w:sz w:val="12"/>
          <w:szCs w:val="12"/>
        </w:rPr>
        <w:t>275</w:t>
      </w:r>
    </w:p>
    <w:p w14:paraId="3C1ABC19" w14:textId="260864D1" w:rsidR="001D67FA" w:rsidRPr="007D057B" w:rsidRDefault="002B2DD7" w:rsidP="00DE5908">
      <w:pPr>
        <w:jc w:val="right"/>
        <w:rPr>
          <w:rFonts w:ascii="Arial" w:hAnsi="Arial" w:cs="Arial"/>
          <w:sz w:val="12"/>
          <w:szCs w:val="12"/>
        </w:rPr>
      </w:pPr>
      <w:r>
        <w:rPr>
          <w:rFonts w:ascii="Arial" w:hAnsi="Arial" w:cs="Arial"/>
          <w:sz w:val="12"/>
          <w:szCs w:val="12"/>
        </w:rPr>
        <w:t>9/23</w:t>
      </w:r>
      <w:r w:rsidR="00EE2F1E">
        <w:rPr>
          <w:rFonts w:ascii="Arial" w:hAnsi="Arial" w:cs="Arial"/>
          <w:sz w:val="12"/>
          <w:szCs w:val="12"/>
        </w:rPr>
        <w:t>(</w:t>
      </w:r>
      <w:r>
        <w:rPr>
          <w:rFonts w:ascii="Arial" w:hAnsi="Arial" w:cs="Arial"/>
          <w:sz w:val="12"/>
          <w:szCs w:val="12"/>
        </w:rPr>
        <w:t>4</w:t>
      </w:r>
      <w:r w:rsidR="00EE2F1E">
        <w:rPr>
          <w:rFonts w:ascii="Arial" w:hAnsi="Arial" w:cs="Arial"/>
          <w:sz w:val="12"/>
          <w:szCs w:val="12"/>
        </w:rPr>
        <w:t>)</w:t>
      </w:r>
    </w:p>
    <w:p w14:paraId="68AEE538" w14:textId="2AC2B77A" w:rsidR="001D67FA" w:rsidRPr="006B16D4" w:rsidRDefault="002B2DD7" w:rsidP="00EE2F1E">
      <w:pPr>
        <w:jc w:val="center"/>
        <w:rPr>
          <w:rFonts w:ascii="Arial" w:hAnsi="Arial" w:cs="Arial"/>
          <w:sz w:val="12"/>
          <w:szCs w:val="12"/>
        </w:rPr>
      </w:pPr>
      <w:r w:rsidRPr="002B2DD7">
        <w:rPr>
          <w:rFonts w:ascii="Arial" w:hAnsi="Arial" w:cs="Arial"/>
          <w:sz w:val="12"/>
          <w:szCs w:val="12"/>
        </w:rPr>
        <w:drawing>
          <wp:inline distT="0" distB="0" distL="0" distR="0" wp14:anchorId="0B0588C8" wp14:editId="6E5D22BE">
            <wp:extent cx="2095500" cy="825500"/>
            <wp:effectExtent l="0" t="0" r="0" b="0"/>
            <wp:docPr id="852033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33024" name=""/>
                    <pic:cNvPicPr/>
                  </pic:nvPicPr>
                  <pic:blipFill>
                    <a:blip r:embed="rId8"/>
                    <a:stretch>
                      <a:fillRect/>
                    </a:stretch>
                  </pic:blipFill>
                  <pic:spPr>
                    <a:xfrm>
                      <a:off x="0" y="0"/>
                      <a:ext cx="2095500" cy="825500"/>
                    </a:xfrm>
                    <a:prstGeom prst="rect">
                      <a:avLst/>
                    </a:prstGeom>
                  </pic:spPr>
                </pic:pic>
              </a:graphicData>
            </a:graphic>
          </wp:inline>
        </w:drawing>
      </w:r>
    </w:p>
    <w:sectPr w:rsidR="001D67FA" w:rsidRPr="006B16D4" w:rsidSect="006B16D4">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Arial"/>
    <w:panose1 w:val="020B0604020202020204"/>
    <w:charset w:val="00"/>
    <w:family w:val="auto"/>
    <w:pitch w:val="variable"/>
    <w:sig w:usb0="E0002AFF" w:usb1="C0007843" w:usb2="00000009" w:usb3="00000000" w:csb0="000001FF" w:csb1="00000000"/>
  </w:font>
  <w:font w:name="ArialNarrow-Bold">
    <w:panose1 w:val="020B0706020202030204"/>
    <w:charset w:val="00"/>
    <w:family w:val="swiss"/>
    <w:pitch w:val="variable"/>
    <w:sig w:usb0="00000287" w:usb1="00000800" w:usb2="00000000" w:usb3="00000000" w:csb0="0000009F" w:csb1="00000000"/>
  </w:font>
  <w:font w:name="ArialNarrow">
    <w:panose1 w:val="020B0606020202030204"/>
    <w:charset w:val="00"/>
    <w:family w:val="swiss"/>
    <w:pitch w:val="variable"/>
    <w:sig w:usb0="00000287" w:usb1="00000800" w:usb2="00000000" w:usb3="00000000" w:csb0="0000009F" w:csb1="00000000"/>
  </w:font>
  <w:font w:name="Arial Narrow MT Std">
    <w:panose1 w:val="020B0506020202030204"/>
    <w:charset w:val="00"/>
    <w:family w:val="swiss"/>
    <w:notTrueType/>
    <w:pitch w:val="variable"/>
    <w:sig w:usb0="800000AF" w:usb1="4000204A" w:usb2="00000000" w:usb3="00000000" w:csb0="0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MT Std">
    <w:panose1 w:val="020B0402020200020204"/>
    <w:charset w:val="00"/>
    <w:family w:val="swiss"/>
    <w:notTrueType/>
    <w:pitch w:val="variable"/>
    <w:sig w:usb0="800000AF" w:usb1="4000204A"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F22"/>
    <w:rsid w:val="00074BF6"/>
    <w:rsid w:val="0007779A"/>
    <w:rsid w:val="00142768"/>
    <w:rsid w:val="001B5A39"/>
    <w:rsid w:val="001C146B"/>
    <w:rsid w:val="001D67FA"/>
    <w:rsid w:val="002236E2"/>
    <w:rsid w:val="002B2DD7"/>
    <w:rsid w:val="002B3BF1"/>
    <w:rsid w:val="002C31D5"/>
    <w:rsid w:val="00320BEC"/>
    <w:rsid w:val="00323565"/>
    <w:rsid w:val="0033373A"/>
    <w:rsid w:val="0036054A"/>
    <w:rsid w:val="003F0811"/>
    <w:rsid w:val="003F67C4"/>
    <w:rsid w:val="0042407F"/>
    <w:rsid w:val="004504F8"/>
    <w:rsid w:val="004516B5"/>
    <w:rsid w:val="00465509"/>
    <w:rsid w:val="00491643"/>
    <w:rsid w:val="004B6FA5"/>
    <w:rsid w:val="004D2DA2"/>
    <w:rsid w:val="004F6B25"/>
    <w:rsid w:val="0051660B"/>
    <w:rsid w:val="00526C4A"/>
    <w:rsid w:val="00535D28"/>
    <w:rsid w:val="005925A6"/>
    <w:rsid w:val="005A3A85"/>
    <w:rsid w:val="005F1CB1"/>
    <w:rsid w:val="0060264F"/>
    <w:rsid w:val="00607684"/>
    <w:rsid w:val="00633BA2"/>
    <w:rsid w:val="006B16D4"/>
    <w:rsid w:val="006C6D57"/>
    <w:rsid w:val="007412D2"/>
    <w:rsid w:val="00754992"/>
    <w:rsid w:val="007828EA"/>
    <w:rsid w:val="007D057B"/>
    <w:rsid w:val="007D7F22"/>
    <w:rsid w:val="00805EDF"/>
    <w:rsid w:val="00816759"/>
    <w:rsid w:val="008827A9"/>
    <w:rsid w:val="00922F22"/>
    <w:rsid w:val="0094004D"/>
    <w:rsid w:val="00966609"/>
    <w:rsid w:val="00966D8F"/>
    <w:rsid w:val="009B338C"/>
    <w:rsid w:val="00A21A80"/>
    <w:rsid w:val="00A40D01"/>
    <w:rsid w:val="00A4545D"/>
    <w:rsid w:val="00A54A53"/>
    <w:rsid w:val="00A555F0"/>
    <w:rsid w:val="00A573D8"/>
    <w:rsid w:val="00AE078F"/>
    <w:rsid w:val="00B319E6"/>
    <w:rsid w:val="00B829FE"/>
    <w:rsid w:val="00BA524C"/>
    <w:rsid w:val="00BD390F"/>
    <w:rsid w:val="00C01430"/>
    <w:rsid w:val="00C522C5"/>
    <w:rsid w:val="00C60BAC"/>
    <w:rsid w:val="00CC7356"/>
    <w:rsid w:val="00CE1317"/>
    <w:rsid w:val="00D6505D"/>
    <w:rsid w:val="00D903C5"/>
    <w:rsid w:val="00D9228C"/>
    <w:rsid w:val="00D9394C"/>
    <w:rsid w:val="00DD6757"/>
    <w:rsid w:val="00DE5908"/>
    <w:rsid w:val="00DF393A"/>
    <w:rsid w:val="00E07674"/>
    <w:rsid w:val="00E243AC"/>
    <w:rsid w:val="00E421DD"/>
    <w:rsid w:val="00E87C4E"/>
    <w:rsid w:val="00EC4CE0"/>
    <w:rsid w:val="00EC55CF"/>
    <w:rsid w:val="00EE2F1E"/>
    <w:rsid w:val="00EE7000"/>
    <w:rsid w:val="00F10AE1"/>
    <w:rsid w:val="00F125A2"/>
    <w:rsid w:val="00F25912"/>
    <w:rsid w:val="00F61CF2"/>
    <w:rsid w:val="00FC6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999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DF393A"/>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DF393A"/>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DF393A"/>
    <w:rPr>
      <w:rFonts w:ascii="ArialNarrow-Bold" w:hAnsi="ArialNarrow-Bold" w:cs="ArialNarrow-Bold"/>
      <w:b/>
      <w:bCs/>
      <w:color w:val="000000"/>
      <w:sz w:val="18"/>
      <w:szCs w:val="18"/>
    </w:rPr>
  </w:style>
  <w:style w:type="paragraph" w:styleId="Bibliography">
    <w:name w:val="Bibliography"/>
    <w:basedOn w:val="Normal"/>
    <w:next w:val="Normal"/>
    <w:uiPriority w:val="37"/>
    <w:semiHidden/>
    <w:unhideWhenUsed/>
    <w:rsid w:val="002236E2"/>
  </w:style>
  <w:style w:type="paragraph" w:customStyle="1" w:styleId="BodyCopy">
    <w:name w:val="Body Copy"/>
    <w:basedOn w:val="Normal"/>
    <w:uiPriority w:val="99"/>
    <w:rsid w:val="002236E2"/>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both"/>
      <w:textAlignment w:val="center"/>
    </w:pPr>
    <w:rPr>
      <w:rFonts w:ascii="ArialNarrow" w:hAnsi="ArialNarrow" w:cs="ArialNarrow"/>
      <w:color w:val="000000"/>
      <w:spacing w:val="-1"/>
      <w:sz w:val="16"/>
      <w:szCs w:val="16"/>
    </w:rPr>
  </w:style>
  <w:style w:type="paragraph" w:customStyle="1" w:styleId="BoldBodycopy">
    <w:name w:val="Bold Body copy"/>
    <w:basedOn w:val="BodyCopy"/>
    <w:uiPriority w:val="99"/>
    <w:rsid w:val="002236E2"/>
    <w:pPr>
      <w:spacing w:line="190" w:lineRule="atLeast"/>
    </w:pPr>
    <w:rPr>
      <w:rFonts w:ascii="ArialNarrow-Bold" w:hAnsi="ArialNarrow-Bold" w:cs="ArialNarrow-Bold"/>
      <w:b/>
      <w:bCs/>
    </w:rPr>
  </w:style>
  <w:style w:type="paragraph" w:customStyle="1" w:styleId="instructions">
    <w:name w:val="instructions"/>
    <w:basedOn w:val="Normal"/>
    <w:uiPriority w:val="99"/>
    <w:rsid w:val="002236E2"/>
    <w:pPr>
      <w:widowControl w:val="0"/>
      <w:tabs>
        <w:tab w:val="left" w:pos="120"/>
        <w:tab w:val="left" w:pos="480"/>
        <w:tab w:val="left" w:pos="1737"/>
        <w:tab w:val="right" w:pos="2790"/>
        <w:tab w:val="left" w:pos="3381"/>
        <w:tab w:val="right" w:pos="4971"/>
      </w:tabs>
      <w:autoSpaceDE w:val="0"/>
      <w:autoSpaceDN w:val="0"/>
      <w:adjustRightInd w:val="0"/>
      <w:spacing w:line="210" w:lineRule="atLeast"/>
      <w:jc w:val="both"/>
      <w:textAlignment w:val="center"/>
    </w:pPr>
    <w:rPr>
      <w:rFonts w:ascii="ArialNarrow" w:hAnsi="ArialNarrow" w:cs="ArialNarrow"/>
      <w:color w:val="000000"/>
      <w:sz w:val="16"/>
      <w:szCs w:val="16"/>
    </w:rPr>
  </w:style>
  <w:style w:type="paragraph" w:customStyle="1" w:styleId="BodyCopyBOLD">
    <w:name w:val="Body Copy BOLD"/>
    <w:basedOn w:val="BodyCopy"/>
    <w:uiPriority w:val="99"/>
    <w:rsid w:val="00320BEC"/>
    <w:pPr>
      <w:tabs>
        <w:tab w:val="clear" w:pos="640"/>
        <w:tab w:val="clear" w:pos="840"/>
        <w:tab w:val="clear" w:pos="1040"/>
        <w:tab w:val="clear" w:pos="1240"/>
        <w:tab w:val="clear" w:pos="1640"/>
        <w:tab w:val="clear" w:pos="1840"/>
        <w:tab w:val="clear" w:pos="2040"/>
        <w:tab w:val="clear" w:pos="2240"/>
        <w:tab w:val="clear" w:pos="2440"/>
        <w:tab w:val="clear" w:pos="2840"/>
        <w:tab w:val="clear" w:pos="3040"/>
        <w:tab w:val="clear" w:pos="3240"/>
        <w:tab w:val="clear" w:pos="3440"/>
        <w:tab w:val="clear" w:pos="3640"/>
        <w:tab w:val="clear" w:pos="4040"/>
        <w:tab w:val="clear" w:pos="4240"/>
        <w:tab w:val="clear" w:pos="4440"/>
        <w:tab w:val="clear" w:pos="4640"/>
        <w:tab w:val="clear" w:pos="4840"/>
        <w:tab w:val="left" w:pos="720"/>
        <w:tab w:val="left" w:pos="960"/>
        <w:tab w:val="left" w:pos="1200"/>
        <w:tab w:val="left" w:pos="1680"/>
        <w:tab w:val="left" w:pos="1920"/>
        <w:tab w:val="left" w:pos="2160"/>
        <w:tab w:val="left" w:pos="2400"/>
        <w:tab w:val="left" w:pos="2880"/>
        <w:tab w:val="left" w:pos="3120"/>
        <w:tab w:val="left" w:pos="3360"/>
        <w:tab w:val="left" w:pos="3600"/>
        <w:tab w:val="left" w:pos="4080"/>
      </w:tabs>
    </w:pPr>
    <w:rPr>
      <w:rFonts w:ascii="ArialNarrow-Bold" w:hAnsi="ArialNarrow-Bold" w:cs="ArialNarrow-Bold"/>
      <w:b/>
      <w:bCs/>
      <w:spacing w:val="0"/>
      <w:sz w:val="18"/>
      <w:szCs w:val="18"/>
    </w:rPr>
  </w:style>
  <w:style w:type="character" w:customStyle="1" w:styleId="Shading">
    <w:name w:val="Shading"/>
    <w:uiPriority w:val="99"/>
    <w:rsid w:val="00DD6757"/>
    <w:rPr>
      <w:rFonts w:ascii="Arial Narrow MT Std" w:hAnsi="Arial Narrow MT Std" w:cs="Arial Narrow MT Std"/>
      <w:u w:val="thick" w:color="000000"/>
    </w:rPr>
  </w:style>
  <w:style w:type="paragraph" w:styleId="ListParagraph">
    <w:name w:val="List Paragraph"/>
    <w:basedOn w:val="Normal"/>
    <w:uiPriority w:val="34"/>
    <w:qFormat/>
    <w:rsid w:val="00F61CF2"/>
    <w:pPr>
      <w:ind w:left="720"/>
      <w:contextualSpacing/>
    </w:pPr>
  </w:style>
  <w:style w:type="paragraph" w:customStyle="1" w:styleId="NoParagraphStyle">
    <w:name w:val="[No Paragraph Style]"/>
    <w:rsid w:val="00D903C5"/>
    <w:pPr>
      <w:autoSpaceDE w:val="0"/>
      <w:autoSpaceDN w:val="0"/>
      <w:adjustRightInd w:val="0"/>
      <w:spacing w:line="288" w:lineRule="auto"/>
      <w:textAlignment w:val="center"/>
    </w:pPr>
    <w:rPr>
      <w:rFonts w:ascii="Times" w:hAnsi="Times" w:cs="Time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9</Pages>
  <Words>3757</Words>
  <Characters>21416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Juliana Spencer</cp:lastModifiedBy>
  <cp:revision>42</cp:revision>
  <cp:lastPrinted>2023-05-15T21:04:00Z</cp:lastPrinted>
  <dcterms:created xsi:type="dcterms:W3CDTF">2017-01-05T19:54:00Z</dcterms:created>
  <dcterms:modified xsi:type="dcterms:W3CDTF">2024-01-15T17:09:00Z</dcterms:modified>
</cp:coreProperties>
</file>