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19F0" w14:textId="77777777" w:rsidR="00922F22" w:rsidRPr="00EC5C45" w:rsidRDefault="00922F22" w:rsidP="00D9228C">
      <w:pPr>
        <w:rPr>
          <w:rFonts w:ascii="Arial" w:hAnsi="Arial" w:cs="Arial"/>
          <w:i/>
          <w:iCs/>
          <w:sz w:val="22"/>
          <w:szCs w:val="22"/>
        </w:rPr>
      </w:pPr>
      <w:r w:rsidRPr="00EC5C45">
        <w:rPr>
          <w:rFonts w:ascii="Arial" w:hAnsi="Arial" w:cs="Arial"/>
          <w:i/>
          <w:iCs/>
          <w:sz w:val="22"/>
          <w:szCs w:val="22"/>
        </w:rPr>
        <w:t>PLEASE READ!!</w:t>
      </w:r>
    </w:p>
    <w:p w14:paraId="4D0CE354" w14:textId="77777777" w:rsidR="00922F22" w:rsidRPr="00EC5C45" w:rsidRDefault="00922F22" w:rsidP="00D9228C">
      <w:pPr>
        <w:rPr>
          <w:rFonts w:ascii="Arial" w:hAnsi="Arial" w:cs="Arial"/>
          <w:sz w:val="22"/>
          <w:szCs w:val="22"/>
        </w:rPr>
      </w:pPr>
    </w:p>
    <w:p w14:paraId="0279F0E0" w14:textId="77777777" w:rsidR="00922F22" w:rsidRPr="00EC5C45" w:rsidRDefault="00922F22" w:rsidP="00D9228C">
      <w:pPr>
        <w:rPr>
          <w:rFonts w:ascii="Arial" w:hAnsi="Arial" w:cs="Arial"/>
          <w:b/>
          <w:bCs/>
          <w:sz w:val="20"/>
          <w:szCs w:val="20"/>
        </w:rPr>
      </w:pPr>
      <w:r w:rsidRPr="00EC5C45">
        <w:rPr>
          <w:rFonts w:ascii="Arial" w:hAnsi="Arial" w:cs="Arial"/>
          <w:b/>
          <w:bCs/>
          <w:sz w:val="20"/>
          <w:szCs w:val="20"/>
        </w:rPr>
        <w:t>HELENA LABORATORIES</w:t>
      </w:r>
    </w:p>
    <w:p w14:paraId="1B1A6F4F" w14:textId="77777777" w:rsidR="00922F22" w:rsidRPr="00EC5C45" w:rsidRDefault="00922F22" w:rsidP="00D9228C">
      <w:pPr>
        <w:rPr>
          <w:rFonts w:ascii="Arial" w:hAnsi="Arial" w:cs="Arial"/>
          <w:b/>
          <w:bCs/>
          <w:sz w:val="20"/>
          <w:szCs w:val="20"/>
        </w:rPr>
      </w:pPr>
      <w:r w:rsidRPr="00EC5C45">
        <w:rPr>
          <w:rFonts w:ascii="Arial" w:hAnsi="Arial" w:cs="Arial"/>
          <w:b/>
          <w:bCs/>
          <w:sz w:val="20"/>
          <w:szCs w:val="20"/>
        </w:rPr>
        <w:t>PROCEDURE DOWNLOAD</w:t>
      </w:r>
      <w:r w:rsidR="001C146B" w:rsidRPr="00EC5C45">
        <w:rPr>
          <w:rFonts w:ascii="Arial" w:hAnsi="Arial" w:cs="Arial"/>
          <w:b/>
          <w:bCs/>
          <w:sz w:val="20"/>
          <w:szCs w:val="20"/>
        </w:rPr>
        <w:t xml:space="preserve"> END USER AGREEMENT</w:t>
      </w:r>
    </w:p>
    <w:p w14:paraId="602CEA70" w14:textId="77777777" w:rsidR="00922F22" w:rsidRPr="00EC5C45" w:rsidRDefault="00922F22" w:rsidP="00D9228C">
      <w:pPr>
        <w:rPr>
          <w:rFonts w:ascii="Arial" w:hAnsi="Arial" w:cs="Arial"/>
          <w:sz w:val="20"/>
          <w:szCs w:val="20"/>
        </w:rPr>
      </w:pPr>
    </w:p>
    <w:p w14:paraId="362AB922" w14:textId="77777777" w:rsidR="00922F22" w:rsidRPr="00EC5C45" w:rsidRDefault="00922F22" w:rsidP="00D9228C">
      <w:pPr>
        <w:rPr>
          <w:rFonts w:ascii="Arial" w:hAnsi="Arial" w:cs="Arial"/>
          <w:sz w:val="20"/>
          <w:szCs w:val="20"/>
        </w:rPr>
      </w:pPr>
    </w:p>
    <w:p w14:paraId="200D1D27" w14:textId="77777777" w:rsidR="00922F22" w:rsidRPr="00EC5C45" w:rsidRDefault="00922F22" w:rsidP="00D9228C">
      <w:pPr>
        <w:rPr>
          <w:rFonts w:ascii="Arial" w:hAnsi="Arial" w:cs="Arial"/>
          <w:sz w:val="20"/>
          <w:szCs w:val="20"/>
        </w:rPr>
      </w:pPr>
      <w:r w:rsidRPr="00EC5C45">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22425CE" w14:textId="77777777" w:rsidR="00922F22" w:rsidRPr="00EC5C45" w:rsidRDefault="00922F22" w:rsidP="00D9228C">
      <w:pPr>
        <w:rPr>
          <w:rFonts w:ascii="Arial" w:hAnsi="Arial" w:cs="Arial"/>
          <w:sz w:val="20"/>
          <w:szCs w:val="20"/>
        </w:rPr>
      </w:pPr>
    </w:p>
    <w:p w14:paraId="2FCB1200" w14:textId="77777777" w:rsidR="00922F22" w:rsidRPr="00EC5C45" w:rsidRDefault="00922F22" w:rsidP="00D9228C">
      <w:pPr>
        <w:rPr>
          <w:rFonts w:ascii="Arial" w:hAnsi="Arial" w:cs="Arial"/>
          <w:sz w:val="20"/>
          <w:szCs w:val="20"/>
        </w:rPr>
      </w:pPr>
      <w:r w:rsidRPr="00EC5C45">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EC5C45">
        <w:rPr>
          <w:rFonts w:ascii="Arial" w:hAnsi="Arial" w:cs="Arial"/>
          <w:sz w:val="20"/>
          <w:szCs w:val="20"/>
        </w:rPr>
        <w:t>{ }</w:t>
      </w:r>
      <w:proofErr w:type="gramEnd"/>
      <w:r w:rsidRPr="00EC5C45">
        <w:rPr>
          <w:rFonts w:ascii="Arial" w:hAnsi="Arial" w:cs="Arial"/>
          <w:sz w:val="20"/>
          <w:szCs w:val="20"/>
        </w:rPr>
        <w:t>.</w:t>
      </w:r>
    </w:p>
    <w:p w14:paraId="1C7E4C64" w14:textId="77777777" w:rsidR="00922F22" w:rsidRPr="00EC5C45" w:rsidRDefault="00922F22" w:rsidP="00D9228C">
      <w:pPr>
        <w:rPr>
          <w:rFonts w:ascii="Arial" w:hAnsi="Arial" w:cs="Arial"/>
          <w:sz w:val="20"/>
          <w:szCs w:val="20"/>
        </w:rPr>
      </w:pPr>
    </w:p>
    <w:p w14:paraId="34454942" w14:textId="77777777" w:rsidR="00922F22" w:rsidRPr="00EC5C45" w:rsidRDefault="00922F22" w:rsidP="00D9228C">
      <w:pPr>
        <w:rPr>
          <w:rFonts w:ascii="Arial" w:hAnsi="Arial" w:cs="Arial"/>
          <w:sz w:val="20"/>
          <w:szCs w:val="20"/>
        </w:rPr>
      </w:pPr>
      <w:r w:rsidRPr="00EC5C45">
        <w:rPr>
          <w:rFonts w:ascii="Arial" w:hAnsi="Arial" w:cs="Arial"/>
          <w:sz w:val="20"/>
          <w:szCs w:val="20"/>
        </w:rPr>
        <w:t>WHAT YOU NEED TO KNOW:</w:t>
      </w:r>
    </w:p>
    <w:p w14:paraId="611833E7" w14:textId="77777777" w:rsidR="00922F22" w:rsidRPr="00EC5C45" w:rsidRDefault="00922F22" w:rsidP="00D9228C">
      <w:pPr>
        <w:rPr>
          <w:rFonts w:ascii="Arial" w:hAnsi="Arial" w:cs="Arial"/>
          <w:sz w:val="20"/>
          <w:szCs w:val="20"/>
        </w:rPr>
      </w:pPr>
    </w:p>
    <w:p w14:paraId="788C1755"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1)</w:t>
      </w:r>
      <w:r w:rsidRPr="00EC5C45">
        <w:rPr>
          <w:rFonts w:ascii="Arial" w:hAnsi="Arial" w:cs="Arial"/>
          <w:sz w:val="20"/>
          <w:szCs w:val="20"/>
        </w:rPr>
        <w:tab/>
        <w:t>These files represent the most current revisi</w:t>
      </w:r>
      <w:r w:rsidR="00805EDF" w:rsidRPr="00EC5C45">
        <w:rPr>
          <w:rFonts w:ascii="Arial" w:hAnsi="Arial" w:cs="Arial"/>
          <w:sz w:val="20"/>
          <w:szCs w:val="20"/>
        </w:rPr>
        <w:t xml:space="preserve">on level to date.  Your current </w:t>
      </w:r>
      <w:r w:rsidRPr="00EC5C45">
        <w:rPr>
          <w:rFonts w:ascii="Arial" w:hAnsi="Arial" w:cs="Arial"/>
          <w:sz w:val="20"/>
          <w:szCs w:val="20"/>
        </w:rPr>
        <w:t>product inventory could contain a previous revision level of this procedure.</w:t>
      </w:r>
    </w:p>
    <w:p w14:paraId="3167FFBB" w14:textId="77777777" w:rsidR="00922F22" w:rsidRPr="00EC5C45" w:rsidRDefault="00922F22" w:rsidP="00D9228C">
      <w:pPr>
        <w:rPr>
          <w:rFonts w:ascii="Arial" w:hAnsi="Arial" w:cs="Arial"/>
          <w:sz w:val="20"/>
          <w:szCs w:val="20"/>
        </w:rPr>
      </w:pPr>
    </w:p>
    <w:p w14:paraId="7DCA797A"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2)</w:t>
      </w:r>
      <w:r w:rsidRPr="00EC5C45">
        <w:rPr>
          <w:rFonts w:ascii="Arial" w:hAnsi="Arial" w:cs="Arial"/>
          <w:sz w:val="20"/>
          <w:szCs w:val="20"/>
        </w:rPr>
        <w:tab/>
        <w:t>The Microsoft Word document provides the text only from the master procedure, in a single-column format.</w:t>
      </w:r>
    </w:p>
    <w:p w14:paraId="5BA347A3" w14:textId="77777777" w:rsidR="00922F22" w:rsidRPr="00EC5C45" w:rsidRDefault="00922F22" w:rsidP="00D9228C">
      <w:pPr>
        <w:rPr>
          <w:rFonts w:ascii="Arial" w:hAnsi="Arial" w:cs="Arial"/>
          <w:sz w:val="20"/>
          <w:szCs w:val="20"/>
        </w:rPr>
      </w:pPr>
    </w:p>
    <w:p w14:paraId="22001E0B" w14:textId="77777777" w:rsidR="00922F22" w:rsidRPr="00EC5C45" w:rsidRDefault="00922F22" w:rsidP="00D9228C">
      <w:pPr>
        <w:ind w:left="1350" w:hanging="540"/>
        <w:rPr>
          <w:rFonts w:ascii="Arial" w:hAnsi="Arial" w:cs="Arial"/>
          <w:sz w:val="20"/>
          <w:szCs w:val="20"/>
        </w:rPr>
      </w:pPr>
      <w:r w:rsidRPr="00EC5C45">
        <w:rPr>
          <w:rFonts w:ascii="Arial" w:hAnsi="Arial" w:cs="Arial"/>
          <w:sz w:val="20"/>
          <w:szCs w:val="20"/>
        </w:rPr>
        <w:t>-</w:t>
      </w:r>
      <w:r w:rsidRPr="00EC5C45">
        <w:rPr>
          <w:rFonts w:ascii="Arial" w:hAnsi="Arial" w:cs="Arial"/>
          <w:sz w:val="20"/>
          <w:szCs w:val="20"/>
        </w:rPr>
        <w:tab/>
        <w:t>It may not contain any illustrations, graphics or captions that may be part of the master procedure included in the kit.</w:t>
      </w:r>
    </w:p>
    <w:p w14:paraId="798D6010" w14:textId="77777777" w:rsidR="00922F22" w:rsidRPr="00EC5C45" w:rsidRDefault="00922F22" w:rsidP="00D9228C">
      <w:pPr>
        <w:ind w:left="1350" w:hanging="540"/>
        <w:rPr>
          <w:rFonts w:ascii="Arial" w:hAnsi="Arial" w:cs="Arial"/>
          <w:sz w:val="20"/>
          <w:szCs w:val="20"/>
        </w:rPr>
      </w:pPr>
    </w:p>
    <w:p w14:paraId="3FAB3E5F" w14:textId="77777777" w:rsidR="00922F22" w:rsidRPr="00EC5C45" w:rsidRDefault="00CE1317" w:rsidP="00D9228C">
      <w:pPr>
        <w:ind w:left="1350" w:hanging="540"/>
        <w:rPr>
          <w:rFonts w:ascii="Arial" w:hAnsi="Arial" w:cs="Arial"/>
          <w:sz w:val="20"/>
          <w:szCs w:val="20"/>
        </w:rPr>
      </w:pPr>
      <w:r w:rsidRPr="00EC5C45">
        <w:rPr>
          <w:rFonts w:ascii="Arial" w:hAnsi="Arial" w:cs="Arial"/>
          <w:sz w:val="20"/>
          <w:szCs w:val="20"/>
        </w:rPr>
        <w:t>-</w:t>
      </w:r>
      <w:r w:rsidRPr="00EC5C45">
        <w:rPr>
          <w:rFonts w:ascii="Arial" w:hAnsi="Arial" w:cs="Arial"/>
          <w:sz w:val="20"/>
          <w:szCs w:val="20"/>
        </w:rPr>
        <w:tab/>
      </w:r>
      <w:r w:rsidR="00922F22" w:rsidRPr="00EC5C45">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784A665" w14:textId="77777777" w:rsidR="00922F22" w:rsidRPr="00EC5C45" w:rsidRDefault="00922F22" w:rsidP="00D9228C">
      <w:pPr>
        <w:ind w:left="1350" w:hanging="540"/>
        <w:rPr>
          <w:rFonts w:ascii="Arial" w:hAnsi="Arial" w:cs="Arial"/>
          <w:sz w:val="20"/>
          <w:szCs w:val="20"/>
        </w:rPr>
      </w:pPr>
    </w:p>
    <w:p w14:paraId="26F0290A" w14:textId="77777777" w:rsidR="00922F22" w:rsidRPr="00EC5C45" w:rsidRDefault="00922F22" w:rsidP="00D9228C">
      <w:pPr>
        <w:ind w:left="1350" w:hanging="540"/>
        <w:rPr>
          <w:rFonts w:ascii="Arial" w:hAnsi="Arial" w:cs="Arial"/>
          <w:sz w:val="20"/>
          <w:szCs w:val="20"/>
        </w:rPr>
      </w:pPr>
      <w:r w:rsidRPr="00EC5C45">
        <w:rPr>
          <w:rFonts w:ascii="Arial" w:hAnsi="Arial" w:cs="Arial"/>
          <w:sz w:val="20"/>
          <w:szCs w:val="20"/>
        </w:rPr>
        <w:t>-</w:t>
      </w:r>
      <w:r w:rsidRPr="00EC5C45">
        <w:rPr>
          <w:rFonts w:ascii="Arial" w:hAnsi="Arial" w:cs="Arial"/>
          <w:sz w:val="20"/>
          <w:szCs w:val="20"/>
        </w:rPr>
        <w:tab/>
        <w:t>The master procedures may also contain columns of tabbed data.  Tab settings may or may not be displayed properly on your desktop.</w:t>
      </w:r>
    </w:p>
    <w:p w14:paraId="66632EE2" w14:textId="77777777" w:rsidR="00922F22" w:rsidRPr="00EC5C45" w:rsidRDefault="00922F22" w:rsidP="00D9228C">
      <w:pPr>
        <w:rPr>
          <w:rFonts w:ascii="Arial" w:hAnsi="Arial" w:cs="Arial"/>
          <w:sz w:val="20"/>
          <w:szCs w:val="20"/>
        </w:rPr>
      </w:pPr>
    </w:p>
    <w:p w14:paraId="060A9488"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3)</w:t>
      </w:r>
      <w:r w:rsidRPr="00EC5C45">
        <w:rPr>
          <w:rFonts w:ascii="Arial" w:hAnsi="Arial" w:cs="Arial"/>
          <w:sz w:val="20"/>
          <w:szCs w:val="20"/>
        </w:rPr>
        <w:tab/>
        <w:t>The Adobe Acrobat PDF file provides a snapshot of the master procedure in a printable 8.5 x 11” format.  It is provided to serve as a reference for accuracy.</w:t>
      </w:r>
    </w:p>
    <w:p w14:paraId="5EF0E59E" w14:textId="77777777" w:rsidR="00922F22" w:rsidRPr="00EC5C45" w:rsidRDefault="00922F22" w:rsidP="00D9228C">
      <w:pPr>
        <w:rPr>
          <w:rFonts w:ascii="Arial" w:hAnsi="Arial" w:cs="Arial"/>
          <w:sz w:val="20"/>
          <w:szCs w:val="20"/>
        </w:rPr>
      </w:pPr>
    </w:p>
    <w:p w14:paraId="5AA5D1C9"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4)</w:t>
      </w:r>
      <w:r w:rsidRPr="00EC5C45">
        <w:rPr>
          <w:rFonts w:ascii="Arial" w:hAnsi="Arial" w:cs="Arial"/>
          <w:sz w:val="20"/>
          <w:szCs w:val="20"/>
        </w:rPr>
        <w:tab/>
        <w:t>By downloading this procedure, your institution is assuming responsibility for modification and usage.</w:t>
      </w:r>
    </w:p>
    <w:p w14:paraId="266E01BC" w14:textId="77777777" w:rsidR="00922F22" w:rsidRPr="00EC5C45" w:rsidRDefault="00922F22" w:rsidP="00D9228C">
      <w:pPr>
        <w:rPr>
          <w:rFonts w:ascii="Arial" w:hAnsi="Arial" w:cs="Arial"/>
          <w:b/>
          <w:bCs/>
          <w:sz w:val="20"/>
          <w:szCs w:val="20"/>
        </w:rPr>
      </w:pPr>
      <w:r w:rsidRPr="00EC5C45">
        <w:rPr>
          <w:rFonts w:ascii="Arial" w:hAnsi="Arial" w:cs="Arial"/>
          <w:sz w:val="20"/>
          <w:szCs w:val="20"/>
        </w:rPr>
        <w:br w:type="page"/>
      </w:r>
      <w:r w:rsidRPr="00EC5C45">
        <w:rPr>
          <w:rFonts w:ascii="Arial" w:hAnsi="Arial" w:cs="Arial"/>
          <w:b/>
          <w:bCs/>
          <w:sz w:val="20"/>
          <w:szCs w:val="20"/>
        </w:rPr>
        <w:lastRenderedPageBreak/>
        <w:t>HELENA LABORATORIES</w:t>
      </w:r>
    </w:p>
    <w:p w14:paraId="65454A7C" w14:textId="77777777" w:rsidR="00922F22" w:rsidRPr="00EC5C45" w:rsidRDefault="00922F22" w:rsidP="00D9228C">
      <w:pPr>
        <w:rPr>
          <w:rFonts w:ascii="Arial" w:hAnsi="Arial" w:cs="Arial"/>
          <w:b/>
          <w:bCs/>
          <w:sz w:val="20"/>
          <w:szCs w:val="20"/>
        </w:rPr>
      </w:pPr>
      <w:r w:rsidRPr="00EC5C45">
        <w:rPr>
          <w:rFonts w:ascii="Arial" w:hAnsi="Arial" w:cs="Arial"/>
          <w:b/>
          <w:bCs/>
          <w:sz w:val="20"/>
          <w:szCs w:val="20"/>
        </w:rPr>
        <w:t>PROCEDURE DOWNLOAD END USER AGREEMENT</w:t>
      </w:r>
    </w:p>
    <w:p w14:paraId="2E4751F0" w14:textId="77777777" w:rsidR="00922F22" w:rsidRPr="00EC5C45" w:rsidRDefault="00922F22" w:rsidP="00D9228C">
      <w:pPr>
        <w:rPr>
          <w:rFonts w:ascii="Arial" w:hAnsi="Arial" w:cs="Arial"/>
          <w:sz w:val="20"/>
          <w:szCs w:val="20"/>
        </w:rPr>
      </w:pPr>
    </w:p>
    <w:p w14:paraId="011F2455" w14:textId="77777777" w:rsidR="00922F22" w:rsidRPr="00EC5C45" w:rsidRDefault="00922F22" w:rsidP="00D9228C">
      <w:pPr>
        <w:rPr>
          <w:rFonts w:ascii="Arial" w:hAnsi="Arial" w:cs="Arial"/>
          <w:sz w:val="20"/>
          <w:szCs w:val="20"/>
        </w:rPr>
      </w:pPr>
    </w:p>
    <w:p w14:paraId="22C17093" w14:textId="77777777" w:rsidR="00922F22" w:rsidRPr="00EC5C45" w:rsidRDefault="00922F22" w:rsidP="00D9228C">
      <w:pPr>
        <w:rPr>
          <w:rFonts w:ascii="Arial" w:hAnsi="Arial" w:cs="Arial"/>
          <w:sz w:val="20"/>
          <w:szCs w:val="20"/>
        </w:rPr>
      </w:pPr>
    </w:p>
    <w:p w14:paraId="72088ADF" w14:textId="77777777" w:rsidR="00922F22" w:rsidRPr="00EC5C45" w:rsidRDefault="00922F22" w:rsidP="00D9228C">
      <w:pPr>
        <w:rPr>
          <w:rFonts w:ascii="Arial" w:hAnsi="Arial" w:cs="Arial"/>
          <w:sz w:val="20"/>
          <w:szCs w:val="20"/>
        </w:rPr>
      </w:pPr>
      <w:r w:rsidRPr="00EC5C45">
        <w:rPr>
          <w:rFonts w:ascii="Arial" w:hAnsi="Arial" w:cs="Arial"/>
          <w:sz w:val="20"/>
          <w:szCs w:val="20"/>
        </w:rPr>
        <w:t>HELENA LABORATORIES LABELING – Style/Format Outline</w:t>
      </w:r>
    </w:p>
    <w:p w14:paraId="4CC47FB0" w14:textId="77777777" w:rsidR="00922F22" w:rsidRPr="00EC5C45" w:rsidRDefault="00922F22" w:rsidP="00D9228C">
      <w:pPr>
        <w:rPr>
          <w:rFonts w:ascii="Arial" w:hAnsi="Arial" w:cs="Arial"/>
          <w:sz w:val="20"/>
          <w:szCs w:val="20"/>
        </w:rPr>
      </w:pPr>
    </w:p>
    <w:p w14:paraId="2963701C" w14:textId="77777777" w:rsidR="00922F22" w:rsidRPr="00EC5C45" w:rsidRDefault="00922F22" w:rsidP="00D9228C">
      <w:pPr>
        <w:rPr>
          <w:rFonts w:ascii="Arial" w:hAnsi="Arial" w:cs="Arial"/>
          <w:sz w:val="20"/>
          <w:szCs w:val="20"/>
        </w:rPr>
      </w:pPr>
    </w:p>
    <w:p w14:paraId="66D0AE99" w14:textId="77777777" w:rsidR="00922F22" w:rsidRPr="00EC5C45" w:rsidRDefault="00922F22" w:rsidP="00D9228C">
      <w:pPr>
        <w:rPr>
          <w:rFonts w:ascii="Arial" w:hAnsi="Arial" w:cs="Arial"/>
          <w:sz w:val="20"/>
          <w:szCs w:val="20"/>
        </w:rPr>
      </w:pPr>
    </w:p>
    <w:p w14:paraId="6EC707E9" w14:textId="77777777" w:rsidR="00922F22" w:rsidRPr="00EC5C45" w:rsidRDefault="00922F22" w:rsidP="00D9228C">
      <w:pPr>
        <w:rPr>
          <w:rFonts w:ascii="Arial" w:hAnsi="Arial" w:cs="Arial"/>
          <w:sz w:val="20"/>
          <w:szCs w:val="20"/>
        </w:rPr>
      </w:pPr>
      <w:r w:rsidRPr="00EC5C45">
        <w:rPr>
          <w:rFonts w:ascii="Arial" w:hAnsi="Arial" w:cs="Arial"/>
          <w:sz w:val="20"/>
          <w:szCs w:val="20"/>
        </w:rPr>
        <w:t>1)</w:t>
      </w:r>
      <w:r w:rsidRPr="00EC5C45">
        <w:rPr>
          <w:rFonts w:ascii="Arial" w:hAnsi="Arial" w:cs="Arial"/>
          <w:sz w:val="20"/>
          <w:szCs w:val="20"/>
        </w:rPr>
        <w:tab/>
        <w:t>PRODUCT {Test} NAME</w:t>
      </w:r>
    </w:p>
    <w:p w14:paraId="648757CC" w14:textId="77777777" w:rsidR="00922F22" w:rsidRPr="00EC5C45" w:rsidRDefault="00922F22" w:rsidP="00D9228C">
      <w:pPr>
        <w:rPr>
          <w:rFonts w:ascii="Arial" w:hAnsi="Arial" w:cs="Arial"/>
          <w:sz w:val="20"/>
          <w:szCs w:val="20"/>
        </w:rPr>
      </w:pPr>
      <w:r w:rsidRPr="00EC5C45">
        <w:rPr>
          <w:rFonts w:ascii="Arial" w:hAnsi="Arial" w:cs="Arial"/>
          <w:sz w:val="20"/>
          <w:szCs w:val="20"/>
        </w:rPr>
        <w:t>2)</w:t>
      </w:r>
      <w:r w:rsidRPr="00EC5C45">
        <w:rPr>
          <w:rFonts w:ascii="Arial" w:hAnsi="Arial" w:cs="Arial"/>
          <w:sz w:val="20"/>
          <w:szCs w:val="20"/>
        </w:rPr>
        <w:tab/>
        <w:t>INTENDED USE and TEST TYPE (qualitative or qualitative)</w:t>
      </w:r>
    </w:p>
    <w:p w14:paraId="37402B84" w14:textId="77777777" w:rsidR="00922F22" w:rsidRPr="00EC5C45" w:rsidRDefault="00922F22" w:rsidP="00D9228C">
      <w:pPr>
        <w:rPr>
          <w:rFonts w:ascii="Arial" w:hAnsi="Arial" w:cs="Arial"/>
          <w:sz w:val="20"/>
          <w:szCs w:val="20"/>
        </w:rPr>
      </w:pPr>
      <w:r w:rsidRPr="00EC5C45">
        <w:rPr>
          <w:rFonts w:ascii="Arial" w:hAnsi="Arial" w:cs="Arial"/>
          <w:sz w:val="20"/>
          <w:szCs w:val="20"/>
        </w:rPr>
        <w:t>3)</w:t>
      </w:r>
      <w:r w:rsidRPr="00EC5C45">
        <w:rPr>
          <w:rFonts w:ascii="Arial" w:hAnsi="Arial" w:cs="Arial"/>
          <w:sz w:val="20"/>
          <w:szCs w:val="20"/>
        </w:rPr>
        <w:tab/>
        <w:t>SUMMARY AND EXPLANATION</w:t>
      </w:r>
    </w:p>
    <w:p w14:paraId="33D22AD7" w14:textId="77777777" w:rsidR="00922F22" w:rsidRPr="00EC5C45" w:rsidRDefault="00922F22" w:rsidP="00D9228C">
      <w:pPr>
        <w:rPr>
          <w:rFonts w:ascii="Arial" w:hAnsi="Arial" w:cs="Arial"/>
          <w:sz w:val="20"/>
          <w:szCs w:val="20"/>
        </w:rPr>
      </w:pPr>
      <w:r w:rsidRPr="00EC5C45">
        <w:rPr>
          <w:rFonts w:ascii="Arial" w:hAnsi="Arial" w:cs="Arial"/>
          <w:sz w:val="20"/>
          <w:szCs w:val="20"/>
        </w:rPr>
        <w:t>4)</w:t>
      </w:r>
      <w:r w:rsidRPr="00EC5C45">
        <w:rPr>
          <w:rFonts w:ascii="Arial" w:hAnsi="Arial" w:cs="Arial"/>
          <w:sz w:val="20"/>
          <w:szCs w:val="20"/>
        </w:rPr>
        <w:tab/>
        <w:t>PRINCIPLES OF THE PROCEDURE</w:t>
      </w:r>
    </w:p>
    <w:p w14:paraId="20C24350" w14:textId="77777777" w:rsidR="00922F22" w:rsidRPr="00EC5C45" w:rsidRDefault="00922F22" w:rsidP="00D9228C">
      <w:pPr>
        <w:rPr>
          <w:rFonts w:ascii="Arial" w:hAnsi="Arial" w:cs="Arial"/>
          <w:sz w:val="20"/>
          <w:szCs w:val="20"/>
        </w:rPr>
      </w:pPr>
      <w:r w:rsidRPr="00EC5C45">
        <w:rPr>
          <w:rFonts w:ascii="Arial" w:hAnsi="Arial" w:cs="Arial"/>
          <w:sz w:val="20"/>
          <w:szCs w:val="20"/>
        </w:rPr>
        <w:tab/>
        <w:t xml:space="preserve">  {NCCLS lists SAMPLE COLLECTION/HANDLING next}</w:t>
      </w:r>
    </w:p>
    <w:p w14:paraId="579D194C"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5)</w:t>
      </w:r>
      <w:r w:rsidRPr="00EC5C45">
        <w:rPr>
          <w:rFonts w:ascii="Arial" w:hAnsi="Arial" w:cs="Arial"/>
          <w:sz w:val="20"/>
          <w:szCs w:val="20"/>
        </w:rPr>
        <w:tab/>
        <w:t>REAGENTS (name/concentration; warnings/precautions; preparation; storage; environment; Purification/treatment; indications of instability)</w:t>
      </w:r>
    </w:p>
    <w:p w14:paraId="40E04C28"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6)</w:t>
      </w:r>
      <w:r w:rsidRPr="00EC5C45">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77D6624F" w14:textId="77777777" w:rsidR="00922F22" w:rsidRPr="00EC5C45" w:rsidRDefault="00922F22" w:rsidP="00D9228C">
      <w:pPr>
        <w:rPr>
          <w:rFonts w:ascii="Arial" w:hAnsi="Arial" w:cs="Arial"/>
          <w:sz w:val="20"/>
          <w:szCs w:val="20"/>
        </w:rPr>
      </w:pPr>
      <w:r w:rsidRPr="00EC5C45">
        <w:rPr>
          <w:rFonts w:ascii="Arial" w:hAnsi="Arial" w:cs="Arial"/>
          <w:sz w:val="20"/>
          <w:szCs w:val="20"/>
        </w:rPr>
        <w:t>7)</w:t>
      </w:r>
      <w:r w:rsidRPr="00EC5C45">
        <w:rPr>
          <w:rFonts w:ascii="Arial" w:hAnsi="Arial" w:cs="Arial"/>
          <w:sz w:val="20"/>
          <w:szCs w:val="20"/>
        </w:rPr>
        <w:tab/>
        <w:t>SAMPLE COLLECTION/HANDLING</w:t>
      </w:r>
    </w:p>
    <w:p w14:paraId="76867159" w14:textId="77777777" w:rsidR="00922F22" w:rsidRPr="00EC5C45" w:rsidRDefault="00922F22" w:rsidP="00D9228C">
      <w:pPr>
        <w:rPr>
          <w:rFonts w:ascii="Arial" w:hAnsi="Arial" w:cs="Arial"/>
          <w:sz w:val="20"/>
          <w:szCs w:val="20"/>
        </w:rPr>
      </w:pPr>
      <w:r w:rsidRPr="00EC5C45">
        <w:rPr>
          <w:rFonts w:ascii="Arial" w:hAnsi="Arial" w:cs="Arial"/>
          <w:sz w:val="20"/>
          <w:szCs w:val="20"/>
        </w:rPr>
        <w:t>8)</w:t>
      </w:r>
      <w:r w:rsidRPr="00EC5C45">
        <w:rPr>
          <w:rFonts w:ascii="Arial" w:hAnsi="Arial" w:cs="Arial"/>
          <w:sz w:val="20"/>
          <w:szCs w:val="20"/>
        </w:rPr>
        <w:tab/>
        <w:t>PROCEDURE</w:t>
      </w:r>
    </w:p>
    <w:p w14:paraId="1EB75EE4" w14:textId="77777777" w:rsidR="00922F22" w:rsidRPr="00EC5C45" w:rsidRDefault="00922F22" w:rsidP="00D9228C">
      <w:pPr>
        <w:rPr>
          <w:rFonts w:ascii="Arial" w:hAnsi="Arial" w:cs="Arial"/>
          <w:sz w:val="20"/>
          <w:szCs w:val="20"/>
        </w:rPr>
      </w:pPr>
      <w:r w:rsidRPr="00EC5C45">
        <w:rPr>
          <w:rFonts w:ascii="Arial" w:hAnsi="Arial" w:cs="Arial"/>
          <w:sz w:val="20"/>
          <w:szCs w:val="20"/>
        </w:rPr>
        <w:tab/>
        <w:t xml:space="preserve">  {NCCLS lists QUALITY CONTROL (QC) next}</w:t>
      </w:r>
    </w:p>
    <w:p w14:paraId="7BC01888" w14:textId="77777777" w:rsidR="00922F22" w:rsidRPr="00EC5C45" w:rsidRDefault="00922F22" w:rsidP="00D9228C">
      <w:pPr>
        <w:rPr>
          <w:rFonts w:ascii="Arial" w:hAnsi="Arial" w:cs="Arial"/>
          <w:sz w:val="20"/>
          <w:szCs w:val="20"/>
          <w:lang w:val="fr-FR"/>
        </w:rPr>
      </w:pPr>
      <w:r w:rsidRPr="00EC5C45">
        <w:rPr>
          <w:rFonts w:ascii="Arial" w:hAnsi="Arial" w:cs="Arial"/>
          <w:sz w:val="20"/>
          <w:szCs w:val="20"/>
        </w:rPr>
        <w:t xml:space="preserve"> </w:t>
      </w:r>
      <w:r w:rsidRPr="00EC5C45">
        <w:rPr>
          <w:rFonts w:ascii="Arial" w:hAnsi="Arial" w:cs="Arial"/>
          <w:sz w:val="20"/>
          <w:szCs w:val="20"/>
          <w:lang w:val="fr-FR"/>
        </w:rPr>
        <w:t>9)  RESULTS (</w:t>
      </w:r>
      <w:proofErr w:type="spellStart"/>
      <w:r w:rsidRPr="00EC5C45">
        <w:rPr>
          <w:rFonts w:ascii="Arial" w:hAnsi="Arial" w:cs="Arial"/>
          <w:sz w:val="20"/>
          <w:szCs w:val="20"/>
          <w:lang w:val="fr-FR"/>
        </w:rPr>
        <w:t>calculations</w:t>
      </w:r>
      <w:proofErr w:type="spellEnd"/>
      <w:r w:rsidRPr="00EC5C45">
        <w:rPr>
          <w:rFonts w:ascii="Arial" w:hAnsi="Arial" w:cs="Arial"/>
          <w:sz w:val="20"/>
          <w:szCs w:val="20"/>
          <w:lang w:val="fr-FR"/>
        </w:rPr>
        <w:t xml:space="preserve">, as </w:t>
      </w:r>
      <w:proofErr w:type="gramStart"/>
      <w:r w:rsidRPr="00EC5C45">
        <w:rPr>
          <w:rFonts w:ascii="Arial" w:hAnsi="Arial" w:cs="Arial"/>
          <w:sz w:val="20"/>
          <w:szCs w:val="20"/>
          <w:lang w:val="fr-FR"/>
        </w:rPr>
        <w:t>applicable;</w:t>
      </w:r>
      <w:proofErr w:type="gramEnd"/>
      <w:r w:rsidRPr="00EC5C45">
        <w:rPr>
          <w:rFonts w:ascii="Arial" w:hAnsi="Arial" w:cs="Arial"/>
          <w:sz w:val="20"/>
          <w:szCs w:val="20"/>
          <w:lang w:val="fr-FR"/>
        </w:rPr>
        <w:t xml:space="preserve"> etc.)</w:t>
      </w:r>
    </w:p>
    <w:p w14:paraId="137A1318" w14:textId="77777777" w:rsidR="00922F22" w:rsidRPr="00EC5C45" w:rsidRDefault="00922F22" w:rsidP="00D9228C">
      <w:pPr>
        <w:rPr>
          <w:rFonts w:ascii="Arial" w:hAnsi="Arial" w:cs="Arial"/>
          <w:sz w:val="20"/>
          <w:szCs w:val="20"/>
        </w:rPr>
      </w:pPr>
      <w:r w:rsidRPr="00EC5C45">
        <w:rPr>
          <w:rFonts w:ascii="Arial" w:hAnsi="Arial" w:cs="Arial"/>
          <w:sz w:val="20"/>
          <w:szCs w:val="20"/>
        </w:rPr>
        <w:t>10)  LIMITATIONS/NOTES/INTERFERENCES</w:t>
      </w:r>
    </w:p>
    <w:p w14:paraId="4D3B3298" w14:textId="77777777" w:rsidR="00922F22" w:rsidRPr="00EC5C45" w:rsidRDefault="00922F22" w:rsidP="00D9228C">
      <w:pPr>
        <w:rPr>
          <w:rFonts w:ascii="Arial" w:hAnsi="Arial" w:cs="Arial"/>
          <w:sz w:val="20"/>
          <w:szCs w:val="20"/>
        </w:rPr>
      </w:pPr>
      <w:r w:rsidRPr="00EC5C45">
        <w:rPr>
          <w:rFonts w:ascii="Arial" w:hAnsi="Arial" w:cs="Arial"/>
          <w:sz w:val="20"/>
          <w:szCs w:val="20"/>
        </w:rPr>
        <w:t>11)  EXPECTED VALUES</w:t>
      </w:r>
    </w:p>
    <w:p w14:paraId="7310D7DE" w14:textId="77777777" w:rsidR="00922F22" w:rsidRPr="00EC5C45" w:rsidRDefault="00922F22" w:rsidP="00D9228C">
      <w:pPr>
        <w:rPr>
          <w:rFonts w:ascii="Arial" w:hAnsi="Arial" w:cs="Arial"/>
          <w:sz w:val="20"/>
          <w:szCs w:val="20"/>
        </w:rPr>
      </w:pPr>
      <w:r w:rsidRPr="00EC5C45">
        <w:rPr>
          <w:rFonts w:ascii="Arial" w:hAnsi="Arial" w:cs="Arial"/>
          <w:sz w:val="20"/>
          <w:szCs w:val="20"/>
        </w:rPr>
        <w:t>12)  PERFORMANCE CHARACTERISTCS</w:t>
      </w:r>
    </w:p>
    <w:p w14:paraId="68365A01" w14:textId="77777777" w:rsidR="00922F22" w:rsidRPr="00EC5C45" w:rsidRDefault="00922F22" w:rsidP="00D9228C">
      <w:pPr>
        <w:rPr>
          <w:rFonts w:ascii="Arial" w:hAnsi="Arial" w:cs="Arial"/>
          <w:sz w:val="20"/>
          <w:szCs w:val="20"/>
        </w:rPr>
      </w:pPr>
      <w:r w:rsidRPr="00EC5C45">
        <w:rPr>
          <w:rFonts w:ascii="Arial" w:hAnsi="Arial" w:cs="Arial"/>
          <w:sz w:val="20"/>
          <w:szCs w:val="20"/>
        </w:rPr>
        <w:t>13)  BIBLIOGRAPHY (of pertinent references)</w:t>
      </w:r>
    </w:p>
    <w:p w14:paraId="0827CA09" w14:textId="77777777" w:rsidR="00922F22" w:rsidRPr="00EC5C45" w:rsidRDefault="00922F22" w:rsidP="00D9228C">
      <w:pPr>
        <w:rPr>
          <w:rFonts w:ascii="Arial" w:hAnsi="Arial" w:cs="Arial"/>
          <w:sz w:val="20"/>
          <w:szCs w:val="20"/>
        </w:rPr>
      </w:pPr>
      <w:r w:rsidRPr="00EC5C45">
        <w:rPr>
          <w:rFonts w:ascii="Arial" w:hAnsi="Arial" w:cs="Arial"/>
          <w:sz w:val="20"/>
          <w:szCs w:val="20"/>
        </w:rPr>
        <w:t>14)  NAME AND PLACE OF BUSINESS OF MANUFACTURER</w:t>
      </w:r>
    </w:p>
    <w:p w14:paraId="797E5D6F" w14:textId="77777777" w:rsidR="00922F22" w:rsidRPr="00EC5C45" w:rsidRDefault="00922F22" w:rsidP="00D9228C">
      <w:pPr>
        <w:rPr>
          <w:rFonts w:ascii="Arial" w:hAnsi="Arial" w:cs="Arial"/>
          <w:sz w:val="20"/>
          <w:szCs w:val="20"/>
        </w:rPr>
      </w:pPr>
      <w:r w:rsidRPr="00EC5C45">
        <w:rPr>
          <w:rFonts w:ascii="Arial" w:hAnsi="Arial" w:cs="Arial"/>
          <w:sz w:val="20"/>
          <w:szCs w:val="20"/>
        </w:rPr>
        <w:t>15)  DATE OF ISSUANCE OF LABELING (instructions)</w:t>
      </w:r>
    </w:p>
    <w:p w14:paraId="7FD364EE" w14:textId="77777777" w:rsidR="00922F22" w:rsidRPr="00EC5C45" w:rsidRDefault="00922F22" w:rsidP="00D9228C">
      <w:pPr>
        <w:rPr>
          <w:rFonts w:ascii="Arial" w:hAnsi="Arial" w:cs="Arial"/>
          <w:sz w:val="20"/>
          <w:szCs w:val="20"/>
        </w:rPr>
      </w:pPr>
    </w:p>
    <w:p w14:paraId="6BD3F72B" w14:textId="77777777" w:rsidR="00922F22" w:rsidRPr="00EC5C45" w:rsidRDefault="00922F22" w:rsidP="003F67C4">
      <w:pPr>
        <w:jc w:val="center"/>
        <w:rPr>
          <w:rFonts w:ascii="Arial" w:hAnsi="Arial" w:cs="Arial"/>
          <w:sz w:val="20"/>
          <w:szCs w:val="20"/>
        </w:rPr>
      </w:pPr>
      <w:r w:rsidRPr="00EC5C45">
        <w:rPr>
          <w:rFonts w:ascii="Arial" w:hAnsi="Arial" w:cs="Arial"/>
          <w:sz w:val="20"/>
          <w:szCs w:val="20"/>
        </w:rPr>
        <w:t xml:space="preserve">For Sales, Technical and Order Information, and Service Assistance, </w:t>
      </w:r>
      <w:r w:rsidR="00CE1317" w:rsidRPr="00EC5C45">
        <w:rPr>
          <w:rFonts w:ascii="Arial" w:eastAsia="MS Mincho" w:hAnsi="Arial" w:cs="Arial"/>
          <w:sz w:val="20"/>
          <w:szCs w:val="20"/>
        </w:rPr>
        <w:br/>
      </w:r>
      <w:r w:rsidRPr="00EC5C45">
        <w:rPr>
          <w:rFonts w:ascii="Arial" w:hAnsi="Arial" w:cs="Arial"/>
          <w:sz w:val="20"/>
          <w:szCs w:val="20"/>
        </w:rPr>
        <w:t>call Helena Laboratories toll free at 1-800-231-5663.</w:t>
      </w:r>
    </w:p>
    <w:p w14:paraId="3DBE1E70" w14:textId="77777777" w:rsidR="00922F22" w:rsidRPr="00EC5C45" w:rsidRDefault="00922F22" w:rsidP="00D9228C">
      <w:pPr>
        <w:rPr>
          <w:rFonts w:ascii="Arial" w:hAnsi="Arial" w:cs="Arial"/>
          <w:sz w:val="20"/>
          <w:szCs w:val="20"/>
        </w:rPr>
      </w:pPr>
    </w:p>
    <w:p w14:paraId="41A2853B" w14:textId="77777777" w:rsidR="00922F22" w:rsidRPr="00EC5C45" w:rsidRDefault="00922F22" w:rsidP="00D9228C">
      <w:pPr>
        <w:rPr>
          <w:rFonts w:ascii="Arial" w:hAnsi="Arial" w:cs="Arial"/>
          <w:sz w:val="20"/>
          <w:szCs w:val="20"/>
        </w:rPr>
      </w:pPr>
    </w:p>
    <w:p w14:paraId="12DDFA69" w14:textId="77777777" w:rsidR="00922F22" w:rsidRPr="00EC5C45" w:rsidRDefault="00922F22" w:rsidP="00D9228C">
      <w:pPr>
        <w:rPr>
          <w:rFonts w:ascii="Arial" w:hAnsi="Arial" w:cs="Arial"/>
          <w:sz w:val="20"/>
          <w:szCs w:val="20"/>
        </w:rPr>
      </w:pPr>
    </w:p>
    <w:p w14:paraId="68DC36AE" w14:textId="77777777" w:rsidR="00922F22" w:rsidRPr="00EC5C45" w:rsidRDefault="00922F22" w:rsidP="00D9228C">
      <w:pPr>
        <w:rPr>
          <w:rFonts w:ascii="Arial" w:hAnsi="Arial" w:cs="Arial"/>
          <w:sz w:val="20"/>
          <w:szCs w:val="20"/>
        </w:rPr>
      </w:pPr>
      <w:r w:rsidRPr="00EC5C45">
        <w:rPr>
          <w:rFonts w:ascii="Arial" w:hAnsi="Arial" w:cs="Arial"/>
          <w:sz w:val="20"/>
          <w:szCs w:val="20"/>
        </w:rPr>
        <w:t>Form 364</w:t>
      </w:r>
    </w:p>
    <w:p w14:paraId="632A9550" w14:textId="77777777" w:rsidR="00922F22" w:rsidRPr="00EC5C45" w:rsidRDefault="00922F22" w:rsidP="00D9228C">
      <w:pPr>
        <w:rPr>
          <w:rFonts w:ascii="Arial" w:hAnsi="Arial" w:cs="Arial"/>
          <w:sz w:val="20"/>
          <w:szCs w:val="20"/>
        </w:rPr>
      </w:pPr>
      <w:r w:rsidRPr="00EC5C45">
        <w:rPr>
          <w:rFonts w:ascii="Arial" w:hAnsi="Arial" w:cs="Arial"/>
          <w:sz w:val="20"/>
          <w:szCs w:val="20"/>
        </w:rPr>
        <w:t>Helena Laboratories</w:t>
      </w:r>
    </w:p>
    <w:p w14:paraId="73AF11AD" w14:textId="77777777" w:rsidR="00922F22" w:rsidRPr="00EC5C45" w:rsidRDefault="00922F22" w:rsidP="00D9228C">
      <w:pPr>
        <w:rPr>
          <w:rFonts w:ascii="Arial" w:hAnsi="Arial" w:cs="Arial"/>
        </w:rPr>
      </w:pPr>
      <w:r w:rsidRPr="00EC5C45">
        <w:rPr>
          <w:rFonts w:ascii="Arial" w:hAnsi="Arial" w:cs="Arial"/>
          <w:sz w:val="20"/>
          <w:szCs w:val="20"/>
        </w:rPr>
        <w:t>1/2006 (Rev 3)</w:t>
      </w:r>
    </w:p>
    <w:p w14:paraId="1E45FE1B" w14:textId="77777777" w:rsidR="00DF393A" w:rsidRPr="00EC5C45" w:rsidRDefault="00DF393A" w:rsidP="00D9228C">
      <w:pPr>
        <w:rPr>
          <w:rFonts w:ascii="Arial" w:hAnsi="Arial" w:cs="Arial"/>
        </w:rPr>
      </w:pPr>
    </w:p>
    <w:p w14:paraId="7E3206C8" w14:textId="77777777" w:rsidR="00DF393A" w:rsidRPr="00EC5C45" w:rsidRDefault="00DF393A" w:rsidP="00D9228C">
      <w:pPr>
        <w:rPr>
          <w:rFonts w:ascii="Arial" w:hAnsi="Arial" w:cs="Arial"/>
        </w:rPr>
      </w:pPr>
    </w:p>
    <w:p w14:paraId="603B109A" w14:textId="77777777" w:rsidR="00DF393A" w:rsidRPr="00EC5C45" w:rsidRDefault="00DF393A" w:rsidP="00D9228C">
      <w:pPr>
        <w:rPr>
          <w:rFonts w:ascii="Arial" w:hAnsi="Arial" w:cs="Arial"/>
        </w:rPr>
      </w:pPr>
    </w:p>
    <w:p w14:paraId="54F8DE27" w14:textId="77777777" w:rsidR="00DF393A" w:rsidRPr="00EC5C45" w:rsidRDefault="00DF393A" w:rsidP="00D9228C">
      <w:pPr>
        <w:rPr>
          <w:rFonts w:ascii="Arial" w:hAnsi="Arial" w:cs="Arial"/>
        </w:rPr>
      </w:pPr>
    </w:p>
    <w:p w14:paraId="6A6F61D2" w14:textId="77777777" w:rsidR="00DF393A" w:rsidRPr="00EC5C45" w:rsidRDefault="00DF393A" w:rsidP="00D9228C">
      <w:pPr>
        <w:rPr>
          <w:rFonts w:ascii="Arial" w:hAnsi="Arial" w:cs="Arial"/>
        </w:rPr>
      </w:pPr>
    </w:p>
    <w:p w14:paraId="4E08A575" w14:textId="77777777" w:rsidR="00CE1317" w:rsidRPr="00EC5C45" w:rsidRDefault="00DF393A" w:rsidP="00D9228C">
      <w:pPr>
        <w:pStyle w:val="ProTitle"/>
        <w:jc w:val="left"/>
        <w:rPr>
          <w:rFonts w:ascii="Arial" w:hAnsi="Arial" w:cs="Arial"/>
        </w:rPr>
      </w:pP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p>
    <w:p w14:paraId="3CC0501F" w14:textId="77777777" w:rsidR="00CE1317" w:rsidRPr="00EC5C45" w:rsidRDefault="00CE1317" w:rsidP="00D9228C">
      <w:pPr>
        <w:pStyle w:val="ProTitle"/>
        <w:jc w:val="left"/>
        <w:rPr>
          <w:rFonts w:ascii="Arial" w:hAnsi="Arial" w:cs="Arial"/>
        </w:rPr>
      </w:pPr>
    </w:p>
    <w:p w14:paraId="38CE8E34" w14:textId="77777777" w:rsidR="00CE1317" w:rsidRPr="00EC5C45" w:rsidRDefault="00CE1317" w:rsidP="00D9228C">
      <w:pPr>
        <w:pStyle w:val="ProTitle"/>
        <w:jc w:val="left"/>
        <w:rPr>
          <w:rFonts w:ascii="Arial" w:hAnsi="Arial" w:cs="Arial"/>
        </w:rPr>
      </w:pPr>
    </w:p>
    <w:p w14:paraId="67322BAB" w14:textId="77777777" w:rsidR="00CE1317" w:rsidRPr="00EC5C45" w:rsidRDefault="00CE1317" w:rsidP="00D9228C">
      <w:pPr>
        <w:pStyle w:val="ProTitle"/>
        <w:jc w:val="left"/>
        <w:rPr>
          <w:rFonts w:ascii="Arial" w:hAnsi="Arial" w:cs="Arial"/>
        </w:rPr>
      </w:pPr>
    </w:p>
    <w:p w14:paraId="0AC2239A" w14:textId="77777777" w:rsidR="00CE1317" w:rsidRPr="00EC5C45" w:rsidRDefault="00CE1317" w:rsidP="00D9228C">
      <w:pPr>
        <w:pStyle w:val="ProTitle"/>
        <w:jc w:val="left"/>
        <w:rPr>
          <w:rFonts w:ascii="Arial" w:hAnsi="Arial" w:cs="Arial"/>
        </w:rPr>
      </w:pPr>
    </w:p>
    <w:p w14:paraId="54DC94AC" w14:textId="77777777" w:rsidR="006B16D4" w:rsidRPr="00EC5C45" w:rsidRDefault="006B16D4" w:rsidP="00D9228C">
      <w:pPr>
        <w:pStyle w:val="ProTitle"/>
        <w:jc w:val="left"/>
        <w:rPr>
          <w:rFonts w:ascii="Arial" w:hAnsi="Arial" w:cs="Arial"/>
        </w:rPr>
      </w:pPr>
    </w:p>
    <w:p w14:paraId="2D40807F" w14:textId="77777777" w:rsidR="006B16D4" w:rsidRPr="00EC5C45" w:rsidRDefault="006B16D4" w:rsidP="00D9228C">
      <w:pPr>
        <w:pStyle w:val="ProTitle"/>
        <w:jc w:val="left"/>
        <w:rPr>
          <w:rFonts w:ascii="Arial" w:hAnsi="Arial" w:cs="Arial"/>
        </w:rPr>
      </w:pPr>
    </w:p>
    <w:p w14:paraId="1E8E6533" w14:textId="77777777" w:rsidR="006B16D4" w:rsidRPr="00EC5C45" w:rsidRDefault="006B16D4" w:rsidP="00D9228C">
      <w:pPr>
        <w:pStyle w:val="ProTitle"/>
        <w:jc w:val="left"/>
        <w:rPr>
          <w:rFonts w:ascii="Arial" w:hAnsi="Arial" w:cs="Arial"/>
        </w:rPr>
      </w:pPr>
    </w:p>
    <w:p w14:paraId="734ED575" w14:textId="79007551" w:rsidR="00DF393A" w:rsidRPr="00EC5C45" w:rsidRDefault="00DF393A" w:rsidP="007E0907">
      <w:pPr>
        <w:pStyle w:val="ProTitle"/>
        <w:rPr>
          <w:rFonts w:ascii="Arial" w:hAnsi="Arial" w:cs="Arial"/>
        </w:rPr>
      </w:pPr>
      <w:r w:rsidRPr="00EC5C45">
        <w:rPr>
          <w:rFonts w:ascii="Arial" w:hAnsi="Arial" w:cs="Arial"/>
        </w:rPr>
        <w:lastRenderedPageBreak/>
        <w:t>SPIFE</w:t>
      </w:r>
      <w:r w:rsidRPr="00EC5C45">
        <w:rPr>
          <w:rFonts w:ascii="Arial" w:hAnsi="Arial" w:cs="Arial"/>
          <w:vertAlign w:val="superscript"/>
        </w:rPr>
        <w:t>®</w:t>
      </w:r>
      <w:r w:rsidRPr="00EC5C45">
        <w:rPr>
          <w:rFonts w:ascii="Arial" w:hAnsi="Arial" w:cs="Arial"/>
        </w:rPr>
        <w:t xml:space="preserve"> </w:t>
      </w:r>
      <w:r w:rsidR="007E0907" w:rsidRPr="00EC5C45">
        <w:rPr>
          <w:rFonts w:ascii="Arial" w:hAnsi="Arial" w:cs="Arial"/>
        </w:rPr>
        <w:t xml:space="preserve">Nexus </w:t>
      </w:r>
      <w:r w:rsidR="007E0907" w:rsidRPr="00EC5C45">
        <w:rPr>
          <w:rFonts w:ascii="Arial" w:hAnsi="Arial" w:cs="Arial"/>
        </w:rPr>
        <w:br/>
      </w:r>
      <w:r w:rsidR="00E50E84">
        <w:rPr>
          <w:rFonts w:ascii="Arial" w:hAnsi="Arial" w:cs="Arial"/>
        </w:rPr>
        <w:t>A</w:t>
      </w:r>
      <w:r w:rsidR="0077406D">
        <w:rPr>
          <w:rFonts w:ascii="Arial" w:hAnsi="Arial" w:cs="Arial"/>
        </w:rPr>
        <w:t>cid</w:t>
      </w:r>
      <w:r w:rsidR="00E50E84">
        <w:rPr>
          <w:rFonts w:ascii="Arial" w:hAnsi="Arial" w:cs="Arial"/>
        </w:rPr>
        <w:t xml:space="preserve"> Hemoglobin</w:t>
      </w:r>
      <w:r w:rsidR="007E0907" w:rsidRPr="00EC5C45">
        <w:rPr>
          <w:rFonts w:ascii="Arial" w:hAnsi="Arial" w:cs="Arial"/>
        </w:rPr>
        <w:t xml:space="preserve"> Procedure</w:t>
      </w:r>
    </w:p>
    <w:p w14:paraId="325FEE34" w14:textId="51FBDD3C" w:rsidR="005A50D8" w:rsidRPr="00EC5C45" w:rsidRDefault="006B16D4" w:rsidP="00320BEC">
      <w:pPr>
        <w:pStyle w:val="Header"/>
        <w:ind w:right="-450"/>
        <w:jc w:val="left"/>
        <w:rPr>
          <w:rFonts w:ascii="Arial" w:hAnsi="Arial" w:cs="Arial"/>
        </w:rPr>
      </w:pPr>
      <w:r w:rsidRPr="00EC5C45">
        <w:rPr>
          <w:rFonts w:ascii="Arial" w:hAnsi="Arial" w:cs="Arial"/>
          <w:noProof/>
        </w:rPr>
        <w:drawing>
          <wp:anchor distT="0" distB="0" distL="114300" distR="114300" simplePos="0" relativeHeight="251661312" behindDoc="1" locked="0" layoutInCell="1" allowOverlap="1" wp14:anchorId="189C82E4" wp14:editId="47562DBC">
            <wp:simplePos x="0" y="0"/>
            <wp:positionH relativeFrom="column">
              <wp:posOffset>45720</wp:posOffset>
            </wp:positionH>
            <wp:positionV relativeFrom="paragraph">
              <wp:posOffset>257175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C45">
        <w:rPr>
          <w:rFonts w:ascii="Arial" w:hAnsi="Arial" w:cs="Arial"/>
        </w:rPr>
        <w:t xml:space="preserve">Cat. No. </w:t>
      </w:r>
      <w:r w:rsidR="007E0907" w:rsidRPr="00EC5C45">
        <w:rPr>
          <w:rFonts w:ascii="Arial" w:hAnsi="Arial" w:cs="Arial"/>
        </w:rPr>
        <w:t>24</w:t>
      </w:r>
      <w:r w:rsidR="00E50E84">
        <w:rPr>
          <w:rFonts w:ascii="Arial" w:hAnsi="Arial" w:cs="Arial"/>
        </w:rPr>
        <w:t>1</w:t>
      </w:r>
      <w:r w:rsidR="0077406D">
        <w:rPr>
          <w:rFonts w:ascii="Arial" w:hAnsi="Arial" w:cs="Arial"/>
        </w:rPr>
        <w:t>8</w:t>
      </w:r>
    </w:p>
    <w:p w14:paraId="25420EBE" w14:textId="77777777" w:rsidR="006B16D4" w:rsidRPr="00EC5C45" w:rsidRDefault="006B16D4" w:rsidP="00D9228C">
      <w:pPr>
        <w:pStyle w:val="Header"/>
        <w:jc w:val="left"/>
        <w:rPr>
          <w:rFonts w:ascii="Arial" w:hAnsi="Arial" w:cs="Arial"/>
        </w:rPr>
      </w:pPr>
    </w:p>
    <w:p w14:paraId="0D4334E6"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 xml:space="preserve">INTENDED USE </w:t>
      </w:r>
    </w:p>
    <w:p w14:paraId="66510D9B"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The SPIFE Nexus Acid Hemoglobin method is intended for the qualitative determination of </w:t>
      </w:r>
      <w:proofErr w:type="spellStart"/>
      <w:r w:rsidRPr="0077406D">
        <w:rPr>
          <w:rFonts w:ascii="Arial MT Std" w:hAnsi="Arial MT Std" w:cs="Arial MT Std"/>
          <w:color w:val="000000"/>
          <w:sz w:val="19"/>
          <w:szCs w:val="19"/>
        </w:rPr>
        <w:t>hemoglobins</w:t>
      </w:r>
      <w:proofErr w:type="spellEnd"/>
      <w:r w:rsidRPr="0077406D">
        <w:rPr>
          <w:rFonts w:ascii="Arial MT Std" w:hAnsi="Arial MT Std" w:cs="Arial MT Std"/>
          <w:color w:val="000000"/>
          <w:sz w:val="19"/>
          <w:szCs w:val="19"/>
        </w:rPr>
        <w:t xml:space="preserve"> using agar in acidic buffer on the SPIFE Nexus system. </w:t>
      </w:r>
    </w:p>
    <w:p w14:paraId="4E83DA09" w14:textId="77777777" w:rsidR="0077406D" w:rsidRPr="0077406D" w:rsidRDefault="0077406D" w:rsidP="0077406D">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For In Vitro Diagnostic Use. </w:t>
      </w:r>
    </w:p>
    <w:p w14:paraId="3350663C" w14:textId="77777777" w:rsidR="0077406D" w:rsidRPr="0077406D" w:rsidRDefault="0077406D" w:rsidP="0077406D">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Rx Only</w:t>
      </w:r>
    </w:p>
    <w:p w14:paraId="2E6ED2E8" w14:textId="77777777" w:rsidR="0077406D" w:rsidRPr="0077406D" w:rsidRDefault="0077406D"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SUMMARY</w:t>
      </w:r>
    </w:p>
    <w:p w14:paraId="6C9DD037"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proofErr w:type="spellStart"/>
      <w:r w:rsidRPr="0077406D">
        <w:rPr>
          <w:rFonts w:ascii="Arial MT Std" w:hAnsi="Arial MT Std" w:cs="Arial MT Std"/>
          <w:color w:val="000000"/>
          <w:spacing w:val="-1"/>
          <w:sz w:val="19"/>
          <w:szCs w:val="19"/>
        </w:rPr>
        <w:t>Hemoglobins</w:t>
      </w:r>
      <w:proofErr w:type="spellEnd"/>
      <w:r w:rsidRPr="0077406D">
        <w:rPr>
          <w:rFonts w:ascii="Arial MT Std" w:hAnsi="Arial MT Std" w:cs="Arial MT Std"/>
          <w:color w:val="000000"/>
          <w:spacing w:val="-1"/>
          <w:sz w:val="19"/>
          <w:szCs w:val="19"/>
        </w:rPr>
        <w:t xml:space="preserve"> (Hb) are a group of proteins whose chief functions are to transport oxygen from the lungs to the tissues and carbon dioxide in the reverse direction. They are composed of polypeptide chains, called globin, and iron protoporphyrin heme groups. A specific sequence of amino acids constitutes each of four polypeptide chains. Each normal hemoglobin molecule contains one pair of alpha and one pair of non-alpha chains. The non-alpha chains of fetal hemoglobin are called gamma. A minor (3%) hemoglobin fraction called HbA</w:t>
      </w:r>
      <w:r w:rsidRPr="0077406D">
        <w:rPr>
          <w:rFonts w:ascii="Arial MT Std" w:hAnsi="Arial MT Std" w:cs="Arial MT Std"/>
          <w:color w:val="000000"/>
          <w:spacing w:val="-1"/>
          <w:sz w:val="19"/>
          <w:szCs w:val="19"/>
          <w:vertAlign w:val="subscript"/>
        </w:rPr>
        <w:t>2</w:t>
      </w:r>
      <w:r w:rsidRPr="0077406D">
        <w:rPr>
          <w:rFonts w:ascii="Arial MT Std" w:hAnsi="Arial MT Std" w:cs="Arial MT Std"/>
          <w:color w:val="000000"/>
          <w:spacing w:val="-1"/>
          <w:sz w:val="19"/>
          <w:szCs w:val="19"/>
        </w:rPr>
        <w:t xml:space="preserve"> contains alpha and delta chains. Two other chains are formed in the embryo. </w:t>
      </w:r>
    </w:p>
    <w:p w14:paraId="7D49C82F"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The major hemoglobin in the erythrocytes of the normal adult is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but there are small amounts of HbA</w:t>
      </w:r>
      <w:r w:rsidRPr="0077406D">
        <w:rPr>
          <w:rFonts w:ascii="Arial MT Std" w:hAnsi="Arial MT Std" w:cs="Arial MT Std"/>
          <w:color w:val="000000"/>
          <w:sz w:val="19"/>
          <w:szCs w:val="19"/>
          <w:vertAlign w:val="subscript"/>
        </w:rPr>
        <w:t>2</w:t>
      </w:r>
      <w:r w:rsidRPr="0077406D">
        <w:rPr>
          <w:rFonts w:ascii="Arial MT Std" w:hAnsi="Arial MT Std" w:cs="Arial MT Std"/>
          <w:color w:val="000000"/>
          <w:sz w:val="19"/>
          <w:szCs w:val="19"/>
        </w:rPr>
        <w:t xml:space="preserve"> and </w:t>
      </w:r>
      <w:proofErr w:type="spellStart"/>
      <w:r w:rsidRPr="0077406D">
        <w:rPr>
          <w:rFonts w:ascii="Arial MT Std" w:hAnsi="Arial MT Std" w:cs="Arial MT Std"/>
          <w:color w:val="000000"/>
          <w:sz w:val="19"/>
          <w:szCs w:val="19"/>
        </w:rPr>
        <w:t>HbF</w:t>
      </w:r>
      <w:proofErr w:type="spellEnd"/>
      <w:r w:rsidRPr="0077406D">
        <w:rPr>
          <w:rFonts w:ascii="Arial MT Std" w:hAnsi="Arial MT Std" w:cs="Arial MT Std"/>
          <w:color w:val="000000"/>
          <w:sz w:val="19"/>
          <w:szCs w:val="19"/>
        </w:rPr>
        <w:t xml:space="preserve">. In addition, over 400 mutant </w:t>
      </w:r>
      <w:proofErr w:type="spellStart"/>
      <w:r w:rsidRPr="0077406D">
        <w:rPr>
          <w:rFonts w:ascii="Arial MT Std" w:hAnsi="Arial MT Std" w:cs="Arial MT Std"/>
          <w:color w:val="000000"/>
          <w:sz w:val="19"/>
          <w:szCs w:val="19"/>
        </w:rPr>
        <w:t>hemoglobins</w:t>
      </w:r>
      <w:proofErr w:type="spellEnd"/>
      <w:r w:rsidRPr="0077406D">
        <w:rPr>
          <w:rFonts w:ascii="Arial MT Std" w:hAnsi="Arial MT Std" w:cs="Arial MT Std"/>
          <w:color w:val="000000"/>
          <w:sz w:val="19"/>
          <w:szCs w:val="19"/>
        </w:rPr>
        <w:t xml:space="preserve"> are now known, some of which may cause serious clinical effects, especially in the homozygous state or in combination with another abnormal hemoglobin. Wintrobe</w:t>
      </w:r>
      <w:r w:rsidRPr="0077406D">
        <w:rPr>
          <w:rFonts w:ascii="Arial MT Std" w:hAnsi="Arial MT Std" w:cs="Arial MT Std"/>
          <w:color w:val="000000"/>
          <w:sz w:val="19"/>
          <w:szCs w:val="19"/>
          <w:vertAlign w:val="superscript"/>
        </w:rPr>
        <w:t>1</w:t>
      </w:r>
      <w:r w:rsidRPr="0077406D">
        <w:rPr>
          <w:rFonts w:ascii="Arial MT Std" w:hAnsi="Arial MT Std" w:cs="Arial MT Std"/>
          <w:color w:val="000000"/>
          <w:sz w:val="19"/>
          <w:szCs w:val="19"/>
        </w:rPr>
        <w:t xml:space="preserve"> divides the abnormalities of hemoglobin synthesis into three groups: </w:t>
      </w:r>
    </w:p>
    <w:p w14:paraId="1291BD2C" w14:textId="466336BD" w:rsidR="0077406D" w:rsidRPr="0077406D" w:rsidRDefault="0077406D" w:rsidP="0077406D">
      <w:pPr>
        <w:tabs>
          <w:tab w:val="left" w:pos="304"/>
        </w:tabs>
        <w:autoSpaceDE w:val="0"/>
        <w:autoSpaceDN w:val="0"/>
        <w:adjustRightInd w:val="0"/>
        <w:spacing w:line="288" w:lineRule="auto"/>
        <w:jc w:val="both"/>
        <w:textAlignment w:val="center"/>
        <w:rPr>
          <w:rFonts w:ascii="Arial MT Std" w:hAnsi="Arial MT Std" w:cs="Arial MT Std"/>
          <w:color w:val="000000"/>
          <w:spacing w:val="-1"/>
          <w:sz w:val="19"/>
          <w:szCs w:val="19"/>
        </w:rPr>
      </w:pPr>
      <w:r w:rsidRPr="0077406D">
        <w:rPr>
          <w:rFonts w:ascii="Arial MT Std" w:hAnsi="Arial MT Std" w:cs="Arial MT Std"/>
          <w:color w:val="000000"/>
          <w:spacing w:val="-1"/>
          <w:sz w:val="19"/>
          <w:szCs w:val="19"/>
        </w:rPr>
        <w:t>(1)</w:t>
      </w:r>
      <w:r w:rsidRPr="0077406D">
        <w:rPr>
          <w:rFonts w:ascii="Arial MT Std" w:hAnsi="Arial MT Std" w:cs="Arial MT Std"/>
          <w:color w:val="000000"/>
          <w:spacing w:val="-1"/>
          <w:sz w:val="19"/>
          <w:szCs w:val="19"/>
        </w:rPr>
        <w:tab/>
        <w:t>Production of an abnormal protein molecule (</w:t>
      </w:r>
      <w:proofErr w:type="gramStart"/>
      <w:r w:rsidRPr="0077406D">
        <w:rPr>
          <w:rFonts w:ascii="Arial MT Std" w:hAnsi="Arial MT Std" w:cs="Arial MT Std"/>
          <w:color w:val="000000"/>
          <w:spacing w:val="-1"/>
          <w:sz w:val="19"/>
          <w:szCs w:val="19"/>
        </w:rPr>
        <w:t>e.g.</w:t>
      </w:r>
      <w:proofErr w:type="gramEnd"/>
      <w:r w:rsidRPr="0077406D">
        <w:rPr>
          <w:rFonts w:ascii="Arial MT Std" w:hAnsi="Arial MT Std" w:cs="Arial MT Std"/>
          <w:color w:val="000000"/>
          <w:spacing w:val="-1"/>
          <w:sz w:val="19"/>
          <w:szCs w:val="19"/>
        </w:rPr>
        <w:t xml:space="preserve"> sickle cell anemia) </w:t>
      </w:r>
    </w:p>
    <w:p w14:paraId="7C12EB77" w14:textId="6737D8BC" w:rsidR="0077406D" w:rsidRPr="0077406D" w:rsidRDefault="0077406D" w:rsidP="0077406D">
      <w:pPr>
        <w:tabs>
          <w:tab w:val="left" w:pos="304"/>
        </w:tabs>
        <w:autoSpaceDE w:val="0"/>
        <w:autoSpaceDN w:val="0"/>
        <w:adjustRightInd w:val="0"/>
        <w:spacing w:line="288" w:lineRule="auto"/>
        <w:jc w:val="both"/>
        <w:textAlignment w:val="center"/>
        <w:rPr>
          <w:rFonts w:ascii="Arial MT Std" w:hAnsi="Arial MT Std" w:cs="Arial MT Std"/>
          <w:color w:val="000000"/>
          <w:spacing w:val="-1"/>
          <w:sz w:val="19"/>
          <w:szCs w:val="19"/>
        </w:rPr>
      </w:pPr>
      <w:r w:rsidRPr="0077406D">
        <w:rPr>
          <w:rFonts w:ascii="Arial MT Std" w:hAnsi="Arial MT Std" w:cs="Arial MT Std"/>
          <w:color w:val="000000"/>
          <w:sz w:val="19"/>
          <w:szCs w:val="19"/>
        </w:rPr>
        <w:t>(2)</w:t>
      </w:r>
      <w:r w:rsidRPr="0077406D">
        <w:rPr>
          <w:rFonts w:ascii="Arial MT Std" w:hAnsi="Arial MT Std" w:cs="Arial MT Std"/>
          <w:color w:val="000000"/>
          <w:sz w:val="19"/>
          <w:szCs w:val="19"/>
        </w:rPr>
        <w:tab/>
        <w:t>Reduction in the amount of normal protein synthesis (</w:t>
      </w:r>
      <w:proofErr w:type="gramStart"/>
      <w:r w:rsidRPr="0077406D">
        <w:rPr>
          <w:rFonts w:ascii="Arial MT Std" w:hAnsi="Arial MT Std" w:cs="Arial MT Std"/>
          <w:color w:val="000000"/>
          <w:sz w:val="19"/>
          <w:szCs w:val="19"/>
        </w:rPr>
        <w:t>e.g.</w:t>
      </w:r>
      <w:proofErr w:type="gramEnd"/>
      <w:r w:rsidRPr="0077406D">
        <w:rPr>
          <w:rFonts w:ascii="Arial MT Std" w:hAnsi="Arial MT Std" w:cs="Arial MT Std"/>
          <w:color w:val="000000"/>
          <w:sz w:val="19"/>
          <w:szCs w:val="19"/>
        </w:rPr>
        <w:t xml:space="preserve"> thalassemia)</w:t>
      </w:r>
    </w:p>
    <w:p w14:paraId="7CE0340E" w14:textId="64828999" w:rsidR="0077406D" w:rsidRPr="0077406D" w:rsidRDefault="0077406D" w:rsidP="0077406D">
      <w:pPr>
        <w:tabs>
          <w:tab w:val="left" w:pos="304"/>
        </w:tabs>
        <w:autoSpaceDE w:val="0"/>
        <w:autoSpaceDN w:val="0"/>
        <w:adjustRightInd w:val="0"/>
        <w:spacing w:line="288" w:lineRule="auto"/>
        <w:jc w:val="both"/>
        <w:textAlignment w:val="center"/>
        <w:rPr>
          <w:rFonts w:ascii="Arial MT Std" w:hAnsi="Arial MT Std" w:cs="Arial MT Std"/>
          <w:color w:val="000000"/>
          <w:spacing w:val="-1"/>
          <w:sz w:val="19"/>
          <w:szCs w:val="19"/>
        </w:rPr>
      </w:pPr>
      <w:r w:rsidRPr="0077406D">
        <w:rPr>
          <w:rFonts w:ascii="Arial MT Std" w:hAnsi="Arial MT Std" w:cs="Arial MT Std"/>
          <w:color w:val="000000"/>
          <w:sz w:val="19"/>
          <w:szCs w:val="19"/>
        </w:rPr>
        <w:t>(3)</w:t>
      </w:r>
      <w:r w:rsidRPr="0077406D">
        <w:rPr>
          <w:rFonts w:ascii="Arial MT Std" w:hAnsi="Arial MT Std" w:cs="Arial MT Std"/>
          <w:color w:val="000000"/>
          <w:sz w:val="19"/>
          <w:szCs w:val="19"/>
        </w:rPr>
        <w:tab/>
        <w:t>Developmental anomalies (</w:t>
      </w:r>
      <w:proofErr w:type="gramStart"/>
      <w:r w:rsidRPr="0077406D">
        <w:rPr>
          <w:rFonts w:ascii="Arial MT Std" w:hAnsi="Arial MT Std" w:cs="Arial MT Std"/>
          <w:color w:val="000000"/>
          <w:sz w:val="19"/>
          <w:szCs w:val="19"/>
        </w:rPr>
        <w:t>e.g.</w:t>
      </w:r>
      <w:proofErr w:type="gramEnd"/>
      <w:r w:rsidRPr="0077406D">
        <w:rPr>
          <w:rFonts w:ascii="Arial MT Std" w:hAnsi="Arial MT Std" w:cs="Arial MT Std"/>
          <w:color w:val="000000"/>
          <w:sz w:val="19"/>
          <w:szCs w:val="19"/>
        </w:rPr>
        <w:t xml:space="preserve"> hereditary persistence of fetal hemoglobin (HPFH) </w:t>
      </w:r>
    </w:p>
    <w:p w14:paraId="4039F8CB"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The two mutant </w:t>
      </w:r>
      <w:proofErr w:type="spellStart"/>
      <w:r w:rsidRPr="0077406D">
        <w:rPr>
          <w:rFonts w:ascii="Arial MT Std" w:hAnsi="Arial MT Std" w:cs="Arial MT Std"/>
          <w:color w:val="000000"/>
          <w:sz w:val="19"/>
          <w:szCs w:val="19"/>
        </w:rPr>
        <w:t>hemoglobins</w:t>
      </w:r>
      <w:proofErr w:type="spellEnd"/>
      <w:r w:rsidRPr="0077406D">
        <w:rPr>
          <w:rFonts w:ascii="Arial MT Std" w:hAnsi="Arial MT Std" w:cs="Arial MT Std"/>
          <w:color w:val="000000"/>
          <w:sz w:val="19"/>
          <w:szCs w:val="19"/>
        </w:rPr>
        <w:t xml:space="preserve"> most commonly seen in the United States are </w:t>
      </w:r>
      <w:proofErr w:type="spellStart"/>
      <w:r w:rsidRPr="0077406D">
        <w:rPr>
          <w:rFonts w:ascii="Arial MT Std" w:hAnsi="Arial MT Std" w:cs="Arial MT Std"/>
          <w:color w:val="000000"/>
          <w:sz w:val="19"/>
          <w:szCs w:val="19"/>
        </w:rPr>
        <w:t>HbS</w:t>
      </w:r>
      <w:proofErr w:type="spellEnd"/>
      <w:r w:rsidRPr="0077406D">
        <w:rPr>
          <w:rFonts w:ascii="Arial MT Std" w:hAnsi="Arial MT Std" w:cs="Arial MT Std"/>
          <w:color w:val="000000"/>
          <w:sz w:val="19"/>
          <w:szCs w:val="19"/>
        </w:rPr>
        <w:t xml:space="preserve"> and </w:t>
      </w:r>
      <w:proofErr w:type="spellStart"/>
      <w:r w:rsidRPr="0077406D">
        <w:rPr>
          <w:rFonts w:ascii="Arial MT Std" w:hAnsi="Arial MT Std" w:cs="Arial MT Std"/>
          <w:color w:val="000000"/>
          <w:sz w:val="19"/>
          <w:szCs w:val="19"/>
        </w:rPr>
        <w:t>HbC</w:t>
      </w:r>
      <w:proofErr w:type="spellEnd"/>
      <w:r w:rsidRPr="0077406D">
        <w:rPr>
          <w:rFonts w:ascii="Arial MT Std" w:hAnsi="Arial MT Std" w:cs="Arial MT Std"/>
          <w:color w:val="000000"/>
          <w:sz w:val="19"/>
          <w:szCs w:val="19"/>
        </w:rPr>
        <w:t xml:space="preserve">. Hb Lepore, </w:t>
      </w:r>
      <w:proofErr w:type="spellStart"/>
      <w:r w:rsidRPr="0077406D">
        <w:rPr>
          <w:rFonts w:ascii="Arial MT Std" w:hAnsi="Arial MT Std" w:cs="Arial MT Std"/>
          <w:color w:val="000000"/>
          <w:sz w:val="19"/>
          <w:szCs w:val="19"/>
        </w:rPr>
        <w:t>HbE</w:t>
      </w:r>
      <w:proofErr w:type="spellEnd"/>
      <w:r w:rsidRPr="0077406D">
        <w:rPr>
          <w:rFonts w:ascii="Arial MT Std" w:hAnsi="Arial MT Std" w:cs="Arial MT Std"/>
          <w:color w:val="000000"/>
          <w:sz w:val="19"/>
          <w:szCs w:val="19"/>
        </w:rPr>
        <w:t xml:space="preserve">, </w:t>
      </w:r>
      <w:proofErr w:type="spellStart"/>
      <w:r w:rsidRPr="0077406D">
        <w:rPr>
          <w:rFonts w:ascii="Arial MT Std" w:hAnsi="Arial MT Std" w:cs="Arial MT Std"/>
          <w:color w:val="000000"/>
          <w:sz w:val="19"/>
          <w:szCs w:val="19"/>
        </w:rPr>
        <w:t>HbG</w:t>
      </w:r>
      <w:proofErr w:type="spellEnd"/>
      <w:r w:rsidRPr="0077406D">
        <w:rPr>
          <w:rFonts w:ascii="Arial MT Std" w:hAnsi="Arial MT Std" w:cs="Arial MT Std"/>
          <w:color w:val="000000"/>
          <w:sz w:val="19"/>
          <w:szCs w:val="19"/>
        </w:rPr>
        <w:t xml:space="preserve">-Philadelphia, </w:t>
      </w:r>
      <w:proofErr w:type="spellStart"/>
      <w:r w:rsidRPr="0077406D">
        <w:rPr>
          <w:rFonts w:ascii="Arial MT Std" w:hAnsi="Arial MT Std" w:cs="Arial MT Std"/>
          <w:color w:val="000000"/>
          <w:sz w:val="19"/>
          <w:szCs w:val="19"/>
        </w:rPr>
        <w:t>HbD</w:t>
      </w:r>
      <w:proofErr w:type="spellEnd"/>
      <w:r w:rsidRPr="0077406D">
        <w:rPr>
          <w:rFonts w:ascii="Arial MT Std" w:hAnsi="Arial MT Std" w:cs="Arial MT Std"/>
          <w:color w:val="000000"/>
          <w:sz w:val="19"/>
          <w:szCs w:val="19"/>
        </w:rPr>
        <w:t xml:space="preserve">-Los Angeles and </w:t>
      </w:r>
      <w:proofErr w:type="spellStart"/>
      <w:r w:rsidRPr="0077406D">
        <w:rPr>
          <w:rFonts w:ascii="Arial MT Std" w:hAnsi="Arial MT Std" w:cs="Arial MT Std"/>
          <w:color w:val="000000"/>
          <w:sz w:val="19"/>
          <w:szCs w:val="19"/>
        </w:rPr>
        <w:t>HbO</w:t>
      </w:r>
      <w:proofErr w:type="spellEnd"/>
      <w:r w:rsidRPr="0077406D">
        <w:rPr>
          <w:rFonts w:ascii="Arial MT Std" w:hAnsi="Arial MT Std" w:cs="Arial MT Std"/>
          <w:color w:val="000000"/>
          <w:sz w:val="19"/>
          <w:szCs w:val="19"/>
        </w:rPr>
        <w:t>-Arab may be seen less frequently.</w:t>
      </w:r>
      <w:r w:rsidRPr="0077406D">
        <w:rPr>
          <w:rFonts w:ascii="Arial MT Std" w:hAnsi="Arial MT Std" w:cs="Arial MT Std"/>
          <w:color w:val="000000"/>
          <w:sz w:val="19"/>
          <w:szCs w:val="19"/>
          <w:vertAlign w:val="superscript"/>
        </w:rPr>
        <w:t>2</w:t>
      </w:r>
    </w:p>
    <w:p w14:paraId="0B0A5965"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Gel electrophoresis is routinely used for identifying hemoglobinopathies. The protocol for hemoglobin electrophoresis involves stepwise use of two systems.</w:t>
      </w:r>
      <w:r w:rsidRPr="0077406D">
        <w:rPr>
          <w:rFonts w:ascii="Arial MT Std" w:hAnsi="Arial MT Std" w:cs="Arial MT Std"/>
          <w:color w:val="000000"/>
          <w:sz w:val="19"/>
          <w:szCs w:val="19"/>
          <w:vertAlign w:val="superscript"/>
        </w:rPr>
        <w:t>3-8</w:t>
      </w:r>
      <w:r w:rsidRPr="0077406D">
        <w:rPr>
          <w:rFonts w:ascii="Arial MT Std" w:hAnsi="Arial MT Std" w:cs="Arial MT Std"/>
          <w:color w:val="000000"/>
          <w:sz w:val="19"/>
          <w:szCs w:val="19"/>
        </w:rPr>
        <w:t xml:space="preserve"> </w:t>
      </w:r>
    </w:p>
    <w:p w14:paraId="27141C68"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Initial electrophoresis testing is performed in an alkaline buffer system, followed by further typing using acid buffers, which measures a property other than electrical charge. Historically, cellulose acetate with alkaline buffers was used to rapidly separate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xml:space="preserve">, F, S and C and other variants. Further testing using citrate agar with acid buffers was used to differentiate between variants with similar electrophoresis properties. This testing can now be performed using acid and alkaline buffers on agarose gel with greater automation. </w:t>
      </w:r>
    </w:p>
    <w:p w14:paraId="49929BC5"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This method is based on the complex interactions of hemoglobin with an acid electrophoretic buffer and agar support media. The SPIFE Nexus Acid Hemoglobin method is a simple procedure requiring minute quantities of hemolysate to provide specific (but not absolute) confirmation of the presence of abnormal </w:t>
      </w:r>
      <w:proofErr w:type="spellStart"/>
      <w:r w:rsidRPr="0077406D">
        <w:rPr>
          <w:rFonts w:ascii="Arial MT Std" w:hAnsi="Arial MT Std" w:cs="Arial MT Std"/>
          <w:color w:val="000000"/>
          <w:sz w:val="19"/>
          <w:szCs w:val="19"/>
        </w:rPr>
        <w:t>hemoglobins</w:t>
      </w:r>
      <w:proofErr w:type="spellEnd"/>
      <w:r w:rsidRPr="0077406D">
        <w:rPr>
          <w:rFonts w:ascii="Arial MT Std" w:hAnsi="Arial MT Std" w:cs="Arial MT Std"/>
          <w:color w:val="000000"/>
          <w:sz w:val="19"/>
          <w:szCs w:val="19"/>
        </w:rPr>
        <w:t xml:space="preserve"> such as </w:t>
      </w:r>
      <w:proofErr w:type="spellStart"/>
      <w:r w:rsidRPr="0077406D">
        <w:rPr>
          <w:rFonts w:ascii="Arial MT Std" w:hAnsi="Arial MT Std" w:cs="Arial MT Std"/>
          <w:color w:val="000000"/>
          <w:sz w:val="19"/>
          <w:szCs w:val="19"/>
        </w:rPr>
        <w:t>HbS</w:t>
      </w:r>
      <w:proofErr w:type="spellEnd"/>
      <w:r w:rsidRPr="0077406D">
        <w:rPr>
          <w:rFonts w:ascii="Arial MT Std" w:hAnsi="Arial MT Std" w:cs="Arial MT Std"/>
          <w:color w:val="000000"/>
          <w:sz w:val="19"/>
          <w:szCs w:val="19"/>
        </w:rPr>
        <w:t xml:space="preserve">, </w:t>
      </w:r>
      <w:proofErr w:type="spellStart"/>
      <w:r w:rsidRPr="0077406D">
        <w:rPr>
          <w:rFonts w:ascii="Arial MT Std" w:hAnsi="Arial MT Std" w:cs="Arial MT Std"/>
          <w:color w:val="000000"/>
          <w:sz w:val="19"/>
          <w:szCs w:val="19"/>
        </w:rPr>
        <w:t>HbC</w:t>
      </w:r>
      <w:proofErr w:type="spellEnd"/>
      <w:r w:rsidRPr="0077406D">
        <w:rPr>
          <w:rFonts w:ascii="Arial MT Std" w:hAnsi="Arial MT Std" w:cs="Arial MT Std"/>
          <w:color w:val="000000"/>
          <w:sz w:val="19"/>
          <w:szCs w:val="19"/>
        </w:rPr>
        <w:t xml:space="preserve"> and </w:t>
      </w:r>
      <w:proofErr w:type="spellStart"/>
      <w:r w:rsidRPr="0077406D">
        <w:rPr>
          <w:rFonts w:ascii="Arial MT Std" w:hAnsi="Arial MT Std" w:cs="Arial MT Std"/>
          <w:color w:val="000000"/>
          <w:sz w:val="19"/>
          <w:szCs w:val="19"/>
        </w:rPr>
        <w:t>HbF</w:t>
      </w:r>
      <w:proofErr w:type="spellEnd"/>
      <w:r w:rsidRPr="0077406D">
        <w:rPr>
          <w:rFonts w:ascii="Arial MT Std" w:hAnsi="Arial MT Std" w:cs="Arial MT Std"/>
          <w:color w:val="000000"/>
          <w:sz w:val="19"/>
          <w:szCs w:val="19"/>
        </w:rPr>
        <w:t xml:space="preserve">. </w:t>
      </w:r>
    </w:p>
    <w:p w14:paraId="186EB42D" w14:textId="77777777" w:rsidR="0077406D" w:rsidRPr="0077406D" w:rsidRDefault="0077406D"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PRINCIPLE</w:t>
      </w:r>
    </w:p>
    <w:p w14:paraId="6A02F37E"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Very small samples of hemolysates prepared from washed, packed cells are automatically applied to the SPIFE Nexus Acid Hb gel. The </w:t>
      </w:r>
      <w:proofErr w:type="spellStart"/>
      <w:r w:rsidRPr="0077406D">
        <w:rPr>
          <w:rFonts w:ascii="Arial MT Std" w:hAnsi="Arial MT Std" w:cs="Arial MT Std"/>
          <w:color w:val="000000"/>
          <w:sz w:val="19"/>
          <w:szCs w:val="19"/>
        </w:rPr>
        <w:t>hemoglobins</w:t>
      </w:r>
      <w:proofErr w:type="spellEnd"/>
      <w:r w:rsidRPr="0077406D">
        <w:rPr>
          <w:rFonts w:ascii="Arial MT Std" w:hAnsi="Arial MT Std" w:cs="Arial MT Std"/>
          <w:color w:val="000000"/>
          <w:sz w:val="19"/>
          <w:szCs w:val="19"/>
        </w:rPr>
        <w:t xml:space="preserve"> in the sample are separated by electrophoresis using a citrate buffer and are stained with Acid Blue Stain. </w:t>
      </w:r>
    </w:p>
    <w:p w14:paraId="0E441E1D" w14:textId="77777777" w:rsidR="0077406D" w:rsidRPr="0077406D" w:rsidRDefault="0077406D"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REAGENTS</w:t>
      </w:r>
    </w:p>
    <w:p w14:paraId="728D972A" w14:textId="43A3D578" w:rsidR="0077406D" w:rsidRPr="0077406D" w:rsidRDefault="0077406D" w:rsidP="0077406D">
      <w:pPr>
        <w:tabs>
          <w:tab w:val="left" w:pos="18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1.</w:t>
      </w:r>
      <w:r w:rsidRPr="0077406D">
        <w:rPr>
          <w:rFonts w:ascii="Arial MT Std" w:hAnsi="Arial MT Std" w:cs="Arial MT Std"/>
          <w:b/>
          <w:bCs/>
          <w:color w:val="000000"/>
          <w:sz w:val="19"/>
          <w:szCs w:val="19"/>
        </w:rPr>
        <w:tab/>
        <w:t xml:space="preserve">SPIFE Acid Hb Gel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Ingredients:</w:t>
      </w:r>
      <w:r w:rsidRPr="0077406D">
        <w:rPr>
          <w:rFonts w:ascii="Arial MT Std" w:hAnsi="Arial MT Std" w:cs="Arial MT Std"/>
          <w:color w:val="000000"/>
          <w:sz w:val="19"/>
          <w:szCs w:val="19"/>
        </w:rPr>
        <w:t xml:space="preserve"> Each gel contains agar in citrate buffer with 0.25% EDTA and thimerosal as a preservative.</w:t>
      </w:r>
      <w:r w:rsidRPr="0077406D">
        <w:rPr>
          <w:rFonts w:ascii="Arial MT Std" w:hAnsi="Arial MT Std" w:cs="Arial MT Std"/>
          <w:b/>
          <w:bCs/>
          <w:color w:val="000000"/>
          <w:sz w:val="19"/>
          <w:szCs w:val="19"/>
        </w:rPr>
        <w:tab/>
      </w:r>
      <w:r w:rsidRPr="0077406D">
        <w:rPr>
          <w:rFonts w:ascii="Arial MT Std" w:hAnsi="Arial MT Std" w:cs="Arial MT Std"/>
          <w:b/>
          <w:bCs/>
          <w:color w:val="000000"/>
          <w:spacing w:val="-4"/>
          <w:sz w:val="19"/>
          <w:szCs w:val="19"/>
        </w:rPr>
        <w:br/>
        <w:t>Preparation for Use:</w:t>
      </w:r>
      <w:r w:rsidRPr="0077406D">
        <w:rPr>
          <w:rFonts w:ascii="Arial MT Std" w:hAnsi="Arial MT Std" w:cs="Arial MT Std"/>
          <w:color w:val="000000"/>
          <w:spacing w:val="-4"/>
          <w:sz w:val="19"/>
          <w:szCs w:val="19"/>
        </w:rPr>
        <w:t xml:space="preserve"> The gels are ready for use as packaged.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Storage and Stability:</w:t>
      </w:r>
      <w:r w:rsidRPr="0077406D">
        <w:rPr>
          <w:rFonts w:ascii="Arial MT Std" w:hAnsi="Arial MT Std" w:cs="Arial MT Std"/>
          <w:color w:val="000000"/>
          <w:sz w:val="19"/>
          <w:szCs w:val="19"/>
        </w:rPr>
        <w:t xml:space="preserve"> The gels should be stored horizontally at room temperature (15 to 30°C) and are stable until the expiration date indicated on the package. The gels must be stored in the protective packaging in which they are shipped. </w:t>
      </w:r>
      <w:r w:rsidRPr="0077406D">
        <w:rPr>
          <w:rFonts w:ascii="Arial MT Std" w:hAnsi="Arial MT Std" w:cs="Arial MT Std"/>
          <w:b/>
          <w:bCs/>
          <w:color w:val="000000"/>
          <w:sz w:val="19"/>
          <w:szCs w:val="19"/>
        </w:rPr>
        <w:t>DO NOT REFRIGERATE OR FREEZE THE GELS.</w:t>
      </w:r>
      <w:r w:rsidRPr="0077406D">
        <w:rPr>
          <w:rFonts w:ascii="Arial MT Std" w:hAnsi="Arial MT Std" w:cs="Arial MT Std"/>
          <w:color w:val="000000"/>
          <w:sz w:val="19"/>
          <w:szCs w:val="19"/>
        </w:rPr>
        <w:t xml:space="preserve">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Signs of Deterioration:</w:t>
      </w:r>
      <w:r w:rsidRPr="0077406D">
        <w:rPr>
          <w:rFonts w:ascii="Arial MT Std" w:hAnsi="Arial MT Std" w:cs="Arial MT Std"/>
          <w:color w:val="000000"/>
          <w:sz w:val="19"/>
          <w:szCs w:val="19"/>
        </w:rPr>
        <w:t xml:space="preserve"> Any of the following conditions may indicate deterioration of the gel: (1) crystalline appearance indicating the agarose has been frozen, (2) cracking and peeling indicating drying of the agarose, (3) bacterial growth indicating contamination, (4) thinning of the gel blocks. </w:t>
      </w:r>
    </w:p>
    <w:p w14:paraId="7DE1CCFE" w14:textId="720268F6" w:rsidR="0077406D" w:rsidRPr="0077406D" w:rsidRDefault="0077406D" w:rsidP="0077406D">
      <w:pPr>
        <w:tabs>
          <w:tab w:val="left" w:pos="18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lastRenderedPageBreak/>
        <w:t>2.</w:t>
      </w:r>
      <w:r w:rsidRPr="0077406D">
        <w:rPr>
          <w:rFonts w:ascii="Arial MT Std" w:hAnsi="Arial MT Std" w:cs="Arial MT Std"/>
          <w:b/>
          <w:bCs/>
          <w:color w:val="000000"/>
          <w:sz w:val="19"/>
          <w:szCs w:val="19"/>
        </w:rPr>
        <w:tab/>
        <w:t xml:space="preserve">SPIFE Nexus Blue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Ingredients:</w:t>
      </w:r>
      <w:r w:rsidRPr="0077406D">
        <w:rPr>
          <w:rFonts w:ascii="Arial MT Std" w:hAnsi="Arial MT Std" w:cs="Arial MT Std"/>
          <w:color w:val="000000"/>
          <w:sz w:val="19"/>
          <w:szCs w:val="19"/>
        </w:rPr>
        <w:t xml:space="preserve"> The stain contains 0.5% (w/v) acid blue stain, 5% acetic acid and surfactant.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 xml:space="preserve">WARNING: FOR IN-VITRO DIAGNOSTIC USE ONLY. DO NOT INGEST.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Preparation for Use:</w:t>
      </w:r>
      <w:r w:rsidRPr="0077406D">
        <w:rPr>
          <w:rFonts w:ascii="Arial MT Std" w:hAnsi="Arial MT Std" w:cs="Arial MT Std"/>
          <w:color w:val="000000"/>
          <w:sz w:val="19"/>
          <w:szCs w:val="19"/>
        </w:rPr>
        <w:t xml:space="preserve"> The stain is ready for use as packaged.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Storage and Stability:</w:t>
      </w:r>
      <w:r w:rsidRPr="0077406D">
        <w:rPr>
          <w:rFonts w:ascii="Arial MT Std" w:hAnsi="Arial MT Std" w:cs="Arial MT Std"/>
          <w:color w:val="000000"/>
          <w:sz w:val="19"/>
          <w:szCs w:val="19"/>
        </w:rPr>
        <w:t xml:space="preserve"> Stable for one year stored at 15 to 30°C in a closed container.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Signs of Deterioration:</w:t>
      </w:r>
      <w:r w:rsidRPr="0077406D">
        <w:rPr>
          <w:rFonts w:ascii="Arial MT Std" w:hAnsi="Arial MT Std" w:cs="Arial MT Std"/>
          <w:color w:val="000000"/>
          <w:sz w:val="19"/>
          <w:szCs w:val="19"/>
        </w:rPr>
        <w:t xml:space="preserve"> The prepared stain should be a homogeneous mixture free of precipitate. Discard if precipitate forms.</w:t>
      </w:r>
    </w:p>
    <w:p w14:paraId="072EBD3A" w14:textId="24AF32FE" w:rsidR="0077406D" w:rsidRPr="0077406D" w:rsidRDefault="0077406D" w:rsidP="0077406D">
      <w:pPr>
        <w:tabs>
          <w:tab w:val="left" w:pos="18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3.</w:t>
      </w:r>
      <w:r w:rsidRPr="0077406D">
        <w:rPr>
          <w:rFonts w:ascii="Arial MT Std" w:hAnsi="Arial MT Std" w:cs="Arial MT Std"/>
          <w:b/>
          <w:bCs/>
          <w:color w:val="000000"/>
          <w:sz w:val="19"/>
          <w:szCs w:val="19"/>
        </w:rPr>
        <w:tab/>
        <w:t xml:space="preserve">Hemolysate Reagent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r>
      <w:r w:rsidRPr="0077406D">
        <w:rPr>
          <w:rFonts w:ascii="Arial MT Std" w:hAnsi="Arial MT Std" w:cs="Arial MT Std"/>
          <w:b/>
          <w:bCs/>
          <w:color w:val="000000"/>
          <w:spacing w:val="-1"/>
          <w:sz w:val="19"/>
          <w:szCs w:val="19"/>
        </w:rPr>
        <w:t>Ingredients:</w:t>
      </w:r>
      <w:r w:rsidRPr="0077406D">
        <w:rPr>
          <w:rFonts w:ascii="Arial MT Std" w:hAnsi="Arial MT Std" w:cs="Arial MT Std"/>
          <w:color w:val="000000"/>
          <w:spacing w:val="-1"/>
          <w:sz w:val="19"/>
          <w:szCs w:val="19"/>
        </w:rPr>
        <w:t xml:space="preserve"> The reagent contains deionized water with 0.005 M</w:t>
      </w:r>
      <w:r w:rsidRPr="0077406D">
        <w:rPr>
          <w:rFonts w:ascii="Arial MT Std" w:hAnsi="Arial MT Std" w:cs="Arial MT Std"/>
          <w:color w:val="000000"/>
          <w:sz w:val="19"/>
          <w:szCs w:val="19"/>
        </w:rPr>
        <w:t xml:space="preserve"> EDTA, 0.175% saponin and 0.07% potassium cyanide.</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WARNING: FOR IN-VITRO DIAGNOSTIC USE ONLY. DO NOT PIPETTE BY MOUTH.</w:t>
      </w:r>
      <w:r w:rsidRPr="0077406D">
        <w:rPr>
          <w:rFonts w:ascii="Arial MT Std" w:hAnsi="Arial MT Std" w:cs="Arial MT Std"/>
          <w:color w:val="000000"/>
          <w:sz w:val="19"/>
          <w:szCs w:val="19"/>
        </w:rPr>
        <w:t xml:space="preserve"> The reagent contains potassium cyanide.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 xml:space="preserve">Preparation for Use: </w:t>
      </w:r>
      <w:r w:rsidRPr="0077406D">
        <w:rPr>
          <w:rFonts w:ascii="Arial MT Std" w:hAnsi="Arial MT Std" w:cs="Arial MT Std"/>
          <w:color w:val="000000"/>
          <w:sz w:val="19"/>
          <w:szCs w:val="19"/>
        </w:rPr>
        <w:t xml:space="preserve">The reagent is ready for use as packaged.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 xml:space="preserve">Storage and Stability: </w:t>
      </w:r>
      <w:r w:rsidRPr="0077406D">
        <w:rPr>
          <w:rFonts w:ascii="Arial MT Std" w:hAnsi="Arial MT Std" w:cs="Arial MT Std"/>
          <w:color w:val="000000"/>
          <w:sz w:val="19"/>
          <w:szCs w:val="19"/>
        </w:rPr>
        <w:t xml:space="preserve">The reagent should be stored at room temperature (15 to 30°C) and is stable until the expiration date indicated on the vial.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Signs of Deterioration:</w:t>
      </w:r>
      <w:r w:rsidRPr="0077406D">
        <w:rPr>
          <w:rFonts w:ascii="Arial MT Std" w:hAnsi="Arial MT Std" w:cs="Arial MT Std"/>
          <w:color w:val="000000"/>
          <w:sz w:val="19"/>
          <w:szCs w:val="19"/>
        </w:rPr>
        <w:t xml:space="preserve"> Discard if solution has </w:t>
      </w:r>
      <w:proofErr w:type="spellStart"/>
      <w:r w:rsidRPr="0077406D">
        <w:rPr>
          <w:rFonts w:ascii="Arial MT Std" w:hAnsi="Arial MT Std" w:cs="Arial MT Std"/>
          <w:color w:val="000000"/>
          <w:sz w:val="19"/>
          <w:szCs w:val="19"/>
        </w:rPr>
        <w:t>precipates</w:t>
      </w:r>
      <w:proofErr w:type="spellEnd"/>
      <w:r w:rsidRPr="0077406D">
        <w:rPr>
          <w:rFonts w:ascii="Arial MT Std" w:hAnsi="Arial MT Std" w:cs="Arial MT Std"/>
          <w:color w:val="000000"/>
          <w:sz w:val="19"/>
          <w:szCs w:val="19"/>
        </w:rPr>
        <w:t xml:space="preserve"> or flocculent.</w:t>
      </w:r>
    </w:p>
    <w:p w14:paraId="35CBFEB3" w14:textId="144AD64A" w:rsidR="0077406D" w:rsidRPr="0077406D" w:rsidRDefault="0077406D" w:rsidP="0077406D">
      <w:pPr>
        <w:tabs>
          <w:tab w:val="left" w:pos="18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4.</w:t>
      </w:r>
      <w:r w:rsidRPr="0077406D">
        <w:rPr>
          <w:rFonts w:ascii="Arial MT Std" w:hAnsi="Arial MT Std" w:cs="Arial MT Std"/>
          <w:b/>
          <w:bCs/>
          <w:color w:val="000000"/>
          <w:sz w:val="19"/>
          <w:szCs w:val="19"/>
        </w:rPr>
        <w:tab/>
        <w:t xml:space="preserve">Citric Acid </w:t>
      </w:r>
      <w:proofErr w:type="spellStart"/>
      <w:r w:rsidRPr="0077406D">
        <w:rPr>
          <w:rFonts w:ascii="Arial MT Std" w:hAnsi="Arial MT Std" w:cs="Arial MT Std"/>
          <w:b/>
          <w:bCs/>
          <w:color w:val="000000"/>
          <w:sz w:val="19"/>
          <w:szCs w:val="19"/>
        </w:rPr>
        <w:t>Destain</w:t>
      </w:r>
      <w:proofErr w:type="spellEnd"/>
      <w:r w:rsidRPr="0077406D">
        <w:rPr>
          <w:rFonts w:ascii="Arial MT Std" w:hAnsi="Arial MT Std" w:cs="Arial MT Std"/>
          <w:b/>
          <w:bCs/>
          <w:color w:val="000000"/>
          <w:sz w:val="19"/>
          <w:szCs w:val="19"/>
        </w:rPr>
        <w:t xml:space="preserve">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Ingredients:</w:t>
      </w:r>
      <w:r w:rsidRPr="0077406D">
        <w:rPr>
          <w:rFonts w:ascii="Arial MT Std" w:hAnsi="Arial MT Std" w:cs="Arial MT Std"/>
          <w:color w:val="000000"/>
          <w:sz w:val="19"/>
          <w:szCs w:val="19"/>
        </w:rPr>
        <w:t xml:space="preserve"> After dissolution, the </w:t>
      </w:r>
      <w:proofErr w:type="spellStart"/>
      <w:r w:rsidRPr="0077406D">
        <w:rPr>
          <w:rFonts w:ascii="Arial MT Std" w:hAnsi="Arial MT Std" w:cs="Arial MT Std"/>
          <w:color w:val="000000"/>
          <w:sz w:val="19"/>
          <w:szCs w:val="19"/>
        </w:rPr>
        <w:t>destain</w:t>
      </w:r>
      <w:proofErr w:type="spellEnd"/>
      <w:r w:rsidRPr="0077406D">
        <w:rPr>
          <w:rFonts w:ascii="Arial MT Std" w:hAnsi="Arial MT Std" w:cs="Arial MT Std"/>
          <w:color w:val="000000"/>
          <w:sz w:val="19"/>
          <w:szCs w:val="19"/>
        </w:rPr>
        <w:t xml:space="preserve"> contains 0.3% (w/v) citric acid.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 xml:space="preserve">WARNING: FOR IN-VITRO DIAGNOSTIC USE. DO NOT INGEST - IRRITANT.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 xml:space="preserve">Preparation for Use: </w:t>
      </w:r>
      <w:r w:rsidRPr="0077406D">
        <w:rPr>
          <w:rFonts w:ascii="Arial MT Std" w:hAnsi="Arial MT Std" w:cs="Arial MT Std"/>
          <w:color w:val="000000"/>
          <w:sz w:val="19"/>
          <w:szCs w:val="19"/>
        </w:rPr>
        <w:t xml:space="preserve">Pour 11 L of deionized water into the </w:t>
      </w:r>
      <w:proofErr w:type="spellStart"/>
      <w:r w:rsidRPr="0077406D">
        <w:rPr>
          <w:rFonts w:ascii="Arial MT Std" w:hAnsi="Arial MT Std" w:cs="Arial MT Std"/>
          <w:color w:val="000000"/>
          <w:sz w:val="19"/>
          <w:szCs w:val="19"/>
        </w:rPr>
        <w:t>Destain</w:t>
      </w:r>
      <w:proofErr w:type="spellEnd"/>
      <w:r w:rsidRPr="0077406D">
        <w:rPr>
          <w:rFonts w:ascii="Arial MT Std" w:hAnsi="Arial MT Std" w:cs="Arial MT Std"/>
          <w:color w:val="000000"/>
          <w:sz w:val="19"/>
          <w:szCs w:val="19"/>
        </w:rPr>
        <w:t xml:space="preserve"> vat. Add the entire package of </w:t>
      </w:r>
      <w:proofErr w:type="spellStart"/>
      <w:r w:rsidRPr="0077406D">
        <w:rPr>
          <w:rFonts w:ascii="Arial MT Std" w:hAnsi="Arial MT Std" w:cs="Arial MT Std"/>
          <w:color w:val="000000"/>
          <w:sz w:val="19"/>
          <w:szCs w:val="19"/>
        </w:rPr>
        <w:t>Destain</w:t>
      </w:r>
      <w:proofErr w:type="spellEnd"/>
      <w:r w:rsidRPr="0077406D">
        <w:rPr>
          <w:rFonts w:ascii="Arial MT Std" w:hAnsi="Arial MT Std" w:cs="Arial MT Std"/>
          <w:color w:val="000000"/>
          <w:sz w:val="19"/>
          <w:szCs w:val="19"/>
        </w:rPr>
        <w:t xml:space="preserve">. Mix well until completely dissolved.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r>
      <w:r w:rsidRPr="0077406D">
        <w:rPr>
          <w:rFonts w:ascii="Arial MT Std" w:hAnsi="Arial MT Std" w:cs="Arial MT Std"/>
          <w:b/>
          <w:bCs/>
          <w:color w:val="000000"/>
          <w:spacing w:val="-1"/>
          <w:sz w:val="19"/>
          <w:szCs w:val="19"/>
        </w:rPr>
        <w:t>Storage and Stability:</w:t>
      </w:r>
      <w:r w:rsidRPr="0077406D">
        <w:rPr>
          <w:rFonts w:ascii="Arial MT Std" w:hAnsi="Arial MT Std" w:cs="Arial MT Std"/>
          <w:color w:val="000000"/>
          <w:spacing w:val="-1"/>
          <w:sz w:val="19"/>
          <w:szCs w:val="19"/>
        </w:rPr>
        <w:t xml:space="preserve"> Store the </w:t>
      </w:r>
      <w:proofErr w:type="spellStart"/>
      <w:r w:rsidRPr="0077406D">
        <w:rPr>
          <w:rFonts w:ascii="Arial MT Std" w:hAnsi="Arial MT Std" w:cs="Arial MT Std"/>
          <w:color w:val="000000"/>
          <w:spacing w:val="-1"/>
          <w:sz w:val="19"/>
          <w:szCs w:val="19"/>
        </w:rPr>
        <w:t>Destain</w:t>
      </w:r>
      <w:proofErr w:type="spellEnd"/>
      <w:r w:rsidRPr="0077406D">
        <w:rPr>
          <w:rFonts w:ascii="Arial MT Std" w:hAnsi="Arial MT Std" w:cs="Arial MT Std"/>
          <w:color w:val="000000"/>
          <w:spacing w:val="-1"/>
          <w:sz w:val="19"/>
          <w:szCs w:val="19"/>
        </w:rPr>
        <w:t xml:space="preserve"> at 15 to 30°C. It is stable until the expiration date on the package.</w:t>
      </w:r>
      <w:r w:rsidRPr="0077406D">
        <w:rPr>
          <w:rFonts w:ascii="Arial MT Std" w:hAnsi="Arial MT Std" w:cs="Arial MT Std"/>
          <w:color w:val="000000"/>
          <w:sz w:val="19"/>
          <w:szCs w:val="19"/>
        </w:rPr>
        <w:t xml:space="preserve">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Signs of Deterioration:</w:t>
      </w:r>
      <w:r w:rsidRPr="0077406D">
        <w:rPr>
          <w:rFonts w:ascii="Arial MT Std" w:hAnsi="Arial MT Std" w:cs="Arial MT Std"/>
          <w:color w:val="000000"/>
          <w:sz w:val="19"/>
          <w:szCs w:val="19"/>
        </w:rPr>
        <w:t xml:space="preserve"> Discard if solution becomes cloudy. </w:t>
      </w:r>
    </w:p>
    <w:p w14:paraId="6DF6FB8E" w14:textId="77777777" w:rsidR="0077406D" w:rsidRPr="0077406D" w:rsidRDefault="0077406D"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INSTRUMENT</w:t>
      </w:r>
    </w:p>
    <w:p w14:paraId="371D7152"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pacing w:val="-2"/>
          <w:sz w:val="19"/>
          <w:szCs w:val="19"/>
        </w:rPr>
      </w:pPr>
      <w:r w:rsidRPr="0077406D">
        <w:rPr>
          <w:rFonts w:ascii="Arial MT Std" w:hAnsi="Arial MT Std" w:cs="Arial MT Std"/>
          <w:color w:val="000000"/>
          <w:spacing w:val="-2"/>
          <w:sz w:val="19"/>
          <w:szCs w:val="19"/>
        </w:rPr>
        <w:t xml:space="preserve">A SPIFE Nexus analyzer must be used to apply samples, electrophorese, stain, </w:t>
      </w:r>
      <w:proofErr w:type="spellStart"/>
      <w:r w:rsidRPr="0077406D">
        <w:rPr>
          <w:rFonts w:ascii="Arial MT Std" w:hAnsi="Arial MT Std" w:cs="Arial MT Std"/>
          <w:color w:val="000000"/>
          <w:spacing w:val="-2"/>
          <w:sz w:val="19"/>
          <w:szCs w:val="19"/>
        </w:rPr>
        <w:t>destain</w:t>
      </w:r>
      <w:proofErr w:type="spellEnd"/>
      <w:r w:rsidRPr="0077406D">
        <w:rPr>
          <w:rFonts w:ascii="Arial MT Std" w:hAnsi="Arial MT Std" w:cs="Arial MT Std"/>
          <w:color w:val="000000"/>
          <w:spacing w:val="-2"/>
          <w:sz w:val="19"/>
          <w:szCs w:val="19"/>
        </w:rPr>
        <w:t xml:space="preserve">, dry and then scan the gels. The gels may also be scanned on a separate densitometer such as the </w:t>
      </w:r>
      <w:proofErr w:type="spellStart"/>
      <w:r w:rsidRPr="0077406D">
        <w:rPr>
          <w:rFonts w:ascii="Arial MT Std" w:hAnsi="Arial MT Std" w:cs="Arial MT Std"/>
          <w:color w:val="000000"/>
          <w:spacing w:val="-2"/>
          <w:sz w:val="19"/>
          <w:szCs w:val="19"/>
        </w:rPr>
        <w:t>QuickScan</w:t>
      </w:r>
      <w:proofErr w:type="spellEnd"/>
      <w:r w:rsidRPr="0077406D">
        <w:rPr>
          <w:rFonts w:ascii="Arial MT Std" w:hAnsi="Arial MT Std" w:cs="Arial MT Std"/>
          <w:color w:val="000000"/>
          <w:spacing w:val="-2"/>
          <w:sz w:val="19"/>
          <w:szCs w:val="19"/>
        </w:rPr>
        <w:t xml:space="preserve"> Touch Plus (Cat. No. 1640). Refer to the Operator’s Manual for detailed instructions.</w:t>
      </w:r>
    </w:p>
    <w:p w14:paraId="7F911EA4" w14:textId="77777777" w:rsidR="0077406D" w:rsidRPr="0077406D" w:rsidRDefault="0077406D"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SPECIMEN COLLECTION AND HANDLING</w:t>
      </w:r>
    </w:p>
    <w:p w14:paraId="7D518132"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b/>
          <w:bCs/>
          <w:color w:val="000000"/>
          <w:sz w:val="19"/>
          <w:szCs w:val="19"/>
        </w:rPr>
        <w:t>Specimen:</w:t>
      </w:r>
      <w:r w:rsidRPr="0077406D">
        <w:rPr>
          <w:rFonts w:ascii="Arial MT Std" w:hAnsi="Arial MT Std" w:cs="Arial MT Std"/>
          <w:color w:val="000000"/>
          <w:sz w:val="19"/>
          <w:szCs w:val="19"/>
        </w:rPr>
        <w:t xml:space="preserve"> Whole blood collected in EDTA tubes is the specimen of choice. </w:t>
      </w:r>
    </w:p>
    <w:p w14:paraId="3AD652AD"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b/>
          <w:bCs/>
          <w:color w:val="000000"/>
          <w:sz w:val="19"/>
          <w:szCs w:val="19"/>
        </w:rPr>
        <w:t>Specimen Storage:</w:t>
      </w:r>
      <w:r w:rsidRPr="0077406D">
        <w:rPr>
          <w:rFonts w:ascii="Arial MT Std" w:hAnsi="Arial MT Std" w:cs="Arial MT Std"/>
          <w:color w:val="000000"/>
          <w:sz w:val="19"/>
          <w:szCs w:val="19"/>
        </w:rPr>
        <w:t xml:space="preserve"> If storage is necessary, whole blood and packed cells may be stored up to 1 week at 2 to 8°C. Frozen samples may produce an artifact band at application, between </w:t>
      </w:r>
      <w:proofErr w:type="spellStart"/>
      <w:r w:rsidRPr="0077406D">
        <w:rPr>
          <w:rFonts w:ascii="Arial MT Std" w:hAnsi="Arial MT Std" w:cs="Arial MT Std"/>
          <w:color w:val="000000"/>
          <w:sz w:val="19"/>
          <w:szCs w:val="19"/>
        </w:rPr>
        <w:t>HbS</w:t>
      </w:r>
      <w:proofErr w:type="spellEnd"/>
      <w:r w:rsidRPr="0077406D">
        <w:rPr>
          <w:rFonts w:ascii="Arial MT Std" w:hAnsi="Arial MT Std" w:cs="Arial MT Std"/>
          <w:color w:val="000000"/>
          <w:sz w:val="19"/>
          <w:szCs w:val="19"/>
        </w:rPr>
        <w:t xml:space="preserve"> and </w:t>
      </w:r>
      <w:proofErr w:type="spellStart"/>
      <w:r w:rsidRPr="0077406D">
        <w:rPr>
          <w:rFonts w:ascii="Arial MT Std" w:hAnsi="Arial MT Std" w:cs="Arial MT Std"/>
          <w:color w:val="000000"/>
          <w:sz w:val="19"/>
          <w:szCs w:val="19"/>
        </w:rPr>
        <w:t>HbC</w:t>
      </w:r>
      <w:proofErr w:type="spellEnd"/>
      <w:r w:rsidRPr="0077406D">
        <w:rPr>
          <w:rFonts w:ascii="Arial MT Std" w:hAnsi="Arial MT Std" w:cs="Arial MT Std"/>
          <w:color w:val="000000"/>
          <w:sz w:val="19"/>
          <w:szCs w:val="19"/>
        </w:rPr>
        <w:t xml:space="preserve">, and band intensity may diminish, especially with hemoglobin C. </w:t>
      </w:r>
    </w:p>
    <w:p w14:paraId="4B2E85E6"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pacing w:val="-2"/>
          <w:sz w:val="19"/>
          <w:szCs w:val="19"/>
        </w:rPr>
      </w:pPr>
      <w:r w:rsidRPr="0077406D">
        <w:rPr>
          <w:rFonts w:ascii="Arial MT Std" w:hAnsi="Arial MT Std" w:cs="Arial MT Std"/>
          <w:b/>
          <w:bCs/>
          <w:color w:val="000000"/>
          <w:spacing w:val="-2"/>
          <w:sz w:val="19"/>
          <w:szCs w:val="19"/>
        </w:rPr>
        <w:t>Specimen Preparation:</w:t>
      </w:r>
      <w:r w:rsidRPr="0077406D">
        <w:rPr>
          <w:rFonts w:ascii="Arial MT Std" w:hAnsi="Arial MT Std" w:cs="Arial MT Std"/>
          <w:color w:val="000000"/>
          <w:spacing w:val="-2"/>
          <w:sz w:val="19"/>
          <w:szCs w:val="19"/>
        </w:rPr>
        <w:t xml:space="preserve"> Washed, packed cell hemolysates must be prepared for each patient specimen.</w:t>
      </w:r>
    </w:p>
    <w:p w14:paraId="52D3943B" w14:textId="77777777" w:rsidR="0077406D" w:rsidRPr="0077406D" w:rsidRDefault="0077406D" w:rsidP="0077406D">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w:t>
      </w:r>
      <w:r w:rsidRPr="0077406D">
        <w:rPr>
          <w:rFonts w:ascii="Arial MT Std" w:hAnsi="Arial MT Std" w:cs="Arial MT Std"/>
          <w:color w:val="000000"/>
          <w:sz w:val="19"/>
          <w:szCs w:val="19"/>
        </w:rPr>
        <w:tab/>
        <w:t xml:space="preserve">Whole Blood sample </w:t>
      </w:r>
    </w:p>
    <w:p w14:paraId="19EA86CF" w14:textId="160B8C68" w:rsidR="0077406D" w:rsidRPr="0077406D" w:rsidRDefault="0077406D" w:rsidP="0077406D">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1.</w:t>
      </w:r>
      <w:r w:rsidRPr="0077406D">
        <w:rPr>
          <w:rFonts w:ascii="Arial MT Std" w:hAnsi="Arial MT Std" w:cs="Arial MT Std"/>
          <w:color w:val="000000"/>
          <w:sz w:val="19"/>
          <w:szCs w:val="19"/>
        </w:rPr>
        <w:tab/>
        <w:t xml:space="preserve">Centrifuge anticoagulated blood for 10 minutes to separate cells from plasma. </w:t>
      </w:r>
    </w:p>
    <w:p w14:paraId="554271D7" w14:textId="77777777" w:rsidR="0077406D" w:rsidRPr="0077406D" w:rsidRDefault="0077406D" w:rsidP="0077406D">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2.</w:t>
      </w:r>
      <w:r w:rsidRPr="0077406D">
        <w:rPr>
          <w:rFonts w:ascii="Arial MT Std" w:hAnsi="Arial MT Std" w:cs="Arial MT Std"/>
          <w:color w:val="000000"/>
          <w:sz w:val="19"/>
          <w:szCs w:val="19"/>
        </w:rPr>
        <w:tab/>
        <w:t xml:space="preserve">Remove plasma. </w:t>
      </w:r>
    </w:p>
    <w:p w14:paraId="7116193F" w14:textId="54163C1C" w:rsidR="0077406D" w:rsidRPr="0077406D" w:rsidRDefault="0077406D" w:rsidP="0077406D">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3.</w:t>
      </w:r>
      <w:r w:rsidRPr="0077406D">
        <w:rPr>
          <w:rFonts w:ascii="Arial MT Std" w:hAnsi="Arial MT Std" w:cs="Arial MT Std"/>
          <w:color w:val="000000"/>
          <w:sz w:val="19"/>
          <w:szCs w:val="19"/>
        </w:rPr>
        <w:tab/>
        <w:t xml:space="preserve">Wash packed cells 3 times by resuspending in 5 to 10 volumes of normal saline solution (0.85% NaCl), centrifuging and aspirating supernatant. </w:t>
      </w:r>
    </w:p>
    <w:p w14:paraId="77D38569" w14:textId="740CDF33" w:rsidR="0077406D" w:rsidRPr="0077406D" w:rsidRDefault="0077406D" w:rsidP="0077406D">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4.</w:t>
      </w:r>
      <w:r w:rsidRPr="0077406D">
        <w:rPr>
          <w:rFonts w:ascii="Arial MT Std" w:hAnsi="Arial MT Std" w:cs="Arial MT Std"/>
          <w:color w:val="000000"/>
          <w:sz w:val="19"/>
          <w:szCs w:val="19"/>
        </w:rPr>
        <w:tab/>
        <w:t xml:space="preserve">After washing the samples, prepare the hemolysates by mixing 10 µL sample to 100 µL Hemolysate Reagent. Vortex or shake vigorously for 15 seconds. </w:t>
      </w:r>
    </w:p>
    <w:p w14:paraId="45E6B3E0" w14:textId="030913E3" w:rsidR="0077406D" w:rsidRPr="0077406D" w:rsidRDefault="0077406D" w:rsidP="0077406D">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B)</w:t>
      </w:r>
      <w:r w:rsidRPr="0077406D">
        <w:rPr>
          <w:rFonts w:ascii="Arial MT Std" w:hAnsi="Arial MT Std" w:cs="Arial MT Std"/>
          <w:color w:val="000000"/>
          <w:sz w:val="19"/>
          <w:szCs w:val="19"/>
        </w:rPr>
        <w:tab/>
        <w:t xml:space="preserve">Control </w:t>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br/>
        <w:t xml:space="preserve">AFSC (Cat. No. 5331) 1:2 (1 part control + </w:t>
      </w:r>
      <w:proofErr w:type="gramStart"/>
      <w:r w:rsidRPr="0077406D">
        <w:rPr>
          <w:rFonts w:ascii="Arial MT Std" w:hAnsi="Arial MT Std" w:cs="Arial MT Std"/>
          <w:color w:val="000000"/>
          <w:sz w:val="19"/>
          <w:szCs w:val="19"/>
        </w:rPr>
        <w:t>1 part</w:t>
      </w:r>
      <w:proofErr w:type="gramEnd"/>
      <w:r w:rsidRPr="0077406D">
        <w:rPr>
          <w:rFonts w:ascii="Arial MT Std" w:hAnsi="Arial MT Std" w:cs="Arial MT Std"/>
          <w:color w:val="000000"/>
          <w:sz w:val="19"/>
          <w:szCs w:val="19"/>
        </w:rPr>
        <w:t xml:space="preserve"> Hemolysate Reagent)</w:t>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br/>
        <w:t>Alternate control preparation 2:1 (2 parts control + 1 part Hemolysate Reagent)</w:t>
      </w:r>
    </w:p>
    <w:p w14:paraId="3E8F8073" w14:textId="77777777" w:rsidR="0077406D" w:rsidRPr="0077406D" w:rsidRDefault="0077406D"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PROCEDURE</w:t>
      </w:r>
    </w:p>
    <w:p w14:paraId="223FA115"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b/>
          <w:bCs/>
          <w:color w:val="000000"/>
          <w:sz w:val="19"/>
          <w:szCs w:val="19"/>
        </w:rPr>
        <w:t>Materials provided:</w:t>
      </w:r>
      <w:r w:rsidRPr="0077406D">
        <w:rPr>
          <w:rFonts w:ascii="Arial MT Std" w:hAnsi="Arial MT Std" w:cs="Arial MT Std"/>
          <w:color w:val="000000"/>
          <w:sz w:val="19"/>
          <w:szCs w:val="19"/>
        </w:rPr>
        <w:t xml:space="preserve"> The following materials needed for the procedure are contained in the SPIFE Nexus Acid Hemoglobin Kit (Cat. No. 2418). Individual items are not available.</w:t>
      </w:r>
    </w:p>
    <w:p w14:paraId="7E136C48" w14:textId="77777777" w:rsidR="0077406D" w:rsidRPr="0077406D" w:rsidRDefault="0077406D" w:rsidP="0077406D">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SPIFE Acid Hemoglobin Gels (10) </w:t>
      </w:r>
    </w:p>
    <w:p w14:paraId="4A2DF533" w14:textId="77777777" w:rsidR="0077406D" w:rsidRPr="0077406D" w:rsidRDefault="0077406D" w:rsidP="0077406D">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SPIFE Nexus Blue (1 vial) </w:t>
      </w:r>
    </w:p>
    <w:p w14:paraId="602486DC" w14:textId="77777777" w:rsidR="0077406D" w:rsidRPr="0077406D" w:rsidRDefault="0077406D" w:rsidP="0077406D">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Hemolysate Reagent (2 bottles) </w:t>
      </w:r>
    </w:p>
    <w:p w14:paraId="74567DE3" w14:textId="77777777" w:rsidR="0077406D" w:rsidRPr="0077406D" w:rsidRDefault="0077406D" w:rsidP="0077406D">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Citric Acid </w:t>
      </w:r>
      <w:proofErr w:type="spellStart"/>
      <w:r w:rsidRPr="0077406D">
        <w:rPr>
          <w:rFonts w:ascii="Arial MT Std" w:hAnsi="Arial MT Std" w:cs="Arial MT Std"/>
          <w:color w:val="000000"/>
          <w:sz w:val="19"/>
          <w:szCs w:val="19"/>
        </w:rPr>
        <w:t>Destain</w:t>
      </w:r>
      <w:proofErr w:type="spellEnd"/>
      <w:r w:rsidRPr="0077406D">
        <w:rPr>
          <w:rFonts w:ascii="Arial MT Std" w:hAnsi="Arial MT Std" w:cs="Arial MT Std"/>
          <w:color w:val="000000"/>
          <w:sz w:val="19"/>
          <w:szCs w:val="19"/>
        </w:rPr>
        <w:t xml:space="preserve"> (2 pkgs) </w:t>
      </w:r>
    </w:p>
    <w:p w14:paraId="352850BF" w14:textId="77777777" w:rsidR="0077406D" w:rsidRPr="0077406D" w:rsidRDefault="0077406D" w:rsidP="0077406D">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REP Blotter C (10)</w:t>
      </w:r>
    </w:p>
    <w:p w14:paraId="66AE7CC9" w14:textId="77777777" w:rsidR="0077406D" w:rsidRPr="0077406D" w:rsidRDefault="0077406D" w:rsidP="0077406D">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Serrated Blade Applicator Kit, 20 Sample (10)</w:t>
      </w:r>
    </w:p>
    <w:p w14:paraId="4EF61D36" w14:textId="77777777" w:rsidR="0077406D" w:rsidRPr="0077406D" w:rsidRDefault="0077406D" w:rsidP="0077406D">
      <w:pPr>
        <w:tabs>
          <w:tab w:val="left" w:pos="180"/>
          <w:tab w:val="left" w:pos="4027"/>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 xml:space="preserve">Materials available but not contained in the kit: </w:t>
      </w:r>
    </w:p>
    <w:p w14:paraId="52CB7390"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lastRenderedPageBreak/>
        <w:tab/>
        <w:t xml:space="preserve">ITEM                                  </w:t>
      </w:r>
      <w:r w:rsidRPr="0077406D">
        <w:rPr>
          <w:rFonts w:ascii="Arial MT Std" w:hAnsi="Arial MT Std" w:cs="Arial MT Std"/>
          <w:b/>
          <w:bCs/>
          <w:color w:val="000000"/>
          <w:sz w:val="19"/>
          <w:szCs w:val="19"/>
        </w:rPr>
        <w:tab/>
        <w:t xml:space="preserve">CAT. NO. </w:t>
      </w:r>
    </w:p>
    <w:p w14:paraId="621D3812"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Nexus Analyzer</w:t>
      </w:r>
      <w:r w:rsidRPr="0077406D">
        <w:rPr>
          <w:rFonts w:ascii="Arial MT Std" w:hAnsi="Arial MT Std" w:cs="Arial MT Std"/>
          <w:color w:val="000000"/>
          <w:sz w:val="19"/>
          <w:szCs w:val="19"/>
        </w:rPr>
        <w:tab/>
        <w:t>1650</w:t>
      </w:r>
    </w:p>
    <w:p w14:paraId="15FD05CD"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proofErr w:type="spellStart"/>
      <w:r w:rsidRPr="0077406D">
        <w:rPr>
          <w:rFonts w:ascii="Arial MT Std" w:hAnsi="Arial MT Std" w:cs="Arial MT Std"/>
          <w:color w:val="000000"/>
          <w:sz w:val="19"/>
          <w:szCs w:val="19"/>
        </w:rPr>
        <w:t>QuickScan</w:t>
      </w:r>
      <w:proofErr w:type="spellEnd"/>
      <w:r w:rsidRPr="0077406D">
        <w:rPr>
          <w:rFonts w:ascii="Arial MT Std" w:hAnsi="Arial MT Std" w:cs="Arial MT Std"/>
          <w:color w:val="000000"/>
          <w:sz w:val="19"/>
          <w:szCs w:val="19"/>
        </w:rPr>
        <w:t xml:space="preserve"> Touch Plus</w:t>
      </w:r>
      <w:r w:rsidRPr="0077406D">
        <w:rPr>
          <w:rFonts w:ascii="Arial MT Std" w:hAnsi="Arial MT Std" w:cs="Arial MT Std"/>
          <w:color w:val="000000"/>
          <w:sz w:val="19"/>
          <w:szCs w:val="19"/>
        </w:rPr>
        <w:tab/>
        <w:t>1640</w:t>
      </w:r>
    </w:p>
    <w:p w14:paraId="26D4353C"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Gel Block Remover</w:t>
      </w:r>
      <w:r w:rsidRPr="0077406D">
        <w:rPr>
          <w:rFonts w:ascii="Arial MT Std" w:hAnsi="Arial MT Std" w:cs="Arial MT Std"/>
          <w:color w:val="000000"/>
          <w:sz w:val="19"/>
          <w:szCs w:val="19"/>
        </w:rPr>
        <w:tab/>
        <w:t>1115</w:t>
      </w:r>
    </w:p>
    <w:p w14:paraId="360AF545"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AFSC </w:t>
      </w:r>
      <w:proofErr w:type="spellStart"/>
      <w:r w:rsidRPr="0077406D">
        <w:rPr>
          <w:rFonts w:ascii="Arial MT Std" w:hAnsi="Arial MT Std" w:cs="Arial MT Std"/>
          <w:color w:val="000000"/>
          <w:sz w:val="19"/>
          <w:szCs w:val="19"/>
        </w:rPr>
        <w:t>Hemo</w:t>
      </w:r>
      <w:proofErr w:type="spellEnd"/>
      <w:r w:rsidRPr="0077406D">
        <w:rPr>
          <w:rFonts w:ascii="Arial MT Std" w:hAnsi="Arial MT Std" w:cs="Arial MT Std"/>
          <w:color w:val="000000"/>
          <w:sz w:val="19"/>
          <w:szCs w:val="19"/>
        </w:rPr>
        <w:t xml:space="preserve"> Control</w:t>
      </w:r>
      <w:r w:rsidRPr="0077406D">
        <w:rPr>
          <w:rFonts w:ascii="Arial MT Std" w:hAnsi="Arial MT Std" w:cs="Arial MT Std"/>
          <w:color w:val="000000"/>
          <w:sz w:val="19"/>
          <w:szCs w:val="19"/>
        </w:rPr>
        <w:tab/>
        <w:t>5331</w:t>
      </w:r>
    </w:p>
    <w:p w14:paraId="5D7033ED"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Dispo Sample Cups</w:t>
      </w:r>
      <w:r w:rsidRPr="0077406D">
        <w:rPr>
          <w:rFonts w:ascii="Arial MT Std" w:hAnsi="Arial MT Std" w:cs="Arial MT Std"/>
          <w:color w:val="000000"/>
          <w:sz w:val="19"/>
          <w:szCs w:val="19"/>
        </w:rPr>
        <w:tab/>
        <w:t>3369</w:t>
      </w:r>
    </w:p>
    <w:p w14:paraId="3484FF76"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20,40,60 Dispo Cup Tray</w:t>
      </w:r>
      <w:r w:rsidRPr="0077406D">
        <w:rPr>
          <w:rFonts w:ascii="Arial MT Std" w:hAnsi="Arial MT Std" w:cs="Arial MT Std"/>
          <w:color w:val="000000"/>
          <w:sz w:val="19"/>
          <w:szCs w:val="19"/>
        </w:rPr>
        <w:tab/>
        <w:t>3370</w:t>
      </w:r>
    </w:p>
    <w:p w14:paraId="6D492F13"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Nexus Cassette</w:t>
      </w:r>
      <w:r w:rsidRPr="0077406D">
        <w:rPr>
          <w:rFonts w:ascii="Arial MT Std" w:hAnsi="Arial MT Std" w:cs="Arial MT Std"/>
          <w:color w:val="000000"/>
          <w:sz w:val="19"/>
          <w:szCs w:val="19"/>
        </w:rPr>
        <w:tab/>
        <w:t>2580</w:t>
      </w:r>
    </w:p>
    <w:p w14:paraId="2B9FEA9C"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Nexus Applicator Templates</w:t>
      </w:r>
      <w:r w:rsidRPr="0077406D">
        <w:rPr>
          <w:rFonts w:ascii="Arial MT Std" w:hAnsi="Arial MT Std" w:cs="Arial MT Std"/>
          <w:color w:val="000000"/>
          <w:sz w:val="19"/>
          <w:szCs w:val="19"/>
        </w:rPr>
        <w:tab/>
        <w:t>2570</w:t>
      </w:r>
    </w:p>
    <w:p w14:paraId="30F81C25"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Nexus Applicator Blade Weights</w:t>
      </w:r>
      <w:r w:rsidRPr="0077406D">
        <w:rPr>
          <w:rFonts w:ascii="Arial MT Std" w:hAnsi="Arial MT Std" w:cs="Arial MT Std"/>
          <w:color w:val="000000"/>
          <w:sz w:val="19"/>
          <w:szCs w:val="19"/>
        </w:rPr>
        <w:tab/>
        <w:t>2572</w:t>
      </w:r>
    </w:p>
    <w:p w14:paraId="395C7722"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Nexus Dispo Stain Cups</w:t>
      </w:r>
      <w:r w:rsidRPr="0077406D">
        <w:rPr>
          <w:rFonts w:ascii="Arial MT Std" w:hAnsi="Arial MT Std" w:cs="Arial MT Std"/>
          <w:color w:val="000000"/>
          <w:sz w:val="19"/>
          <w:szCs w:val="19"/>
        </w:rPr>
        <w:tab/>
        <w:t>2575</w:t>
      </w:r>
    </w:p>
    <w:p w14:paraId="2B5315F7"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Pos ID Barcode Labels for Touch and </w:t>
      </w:r>
    </w:p>
    <w:p w14:paraId="2D7E6A91"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  SPIFE Nexus Systems</w:t>
      </w:r>
      <w:r w:rsidRPr="0077406D">
        <w:rPr>
          <w:rFonts w:ascii="Arial MT Std" w:hAnsi="Arial MT Std" w:cs="Arial MT Std"/>
          <w:color w:val="000000"/>
          <w:sz w:val="19"/>
          <w:szCs w:val="19"/>
        </w:rPr>
        <w:tab/>
        <w:t>1696</w:t>
      </w:r>
    </w:p>
    <w:p w14:paraId="65CAFB3D"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aps/>
          <w:color w:val="000000"/>
          <w:sz w:val="19"/>
          <w:szCs w:val="19"/>
        </w:rPr>
        <w:t>Rep</w:t>
      </w:r>
      <w:r w:rsidRPr="0077406D">
        <w:rPr>
          <w:rFonts w:ascii="Arial MT Std" w:hAnsi="Arial MT Std" w:cs="Arial MT Std"/>
          <w:color w:val="000000"/>
          <w:sz w:val="19"/>
          <w:szCs w:val="19"/>
        </w:rPr>
        <w:t xml:space="preserve"> Prep</w:t>
      </w:r>
      <w:r w:rsidRPr="0077406D">
        <w:rPr>
          <w:rFonts w:ascii="Arial MT Std" w:hAnsi="Arial MT Std" w:cs="Arial MT Std"/>
          <w:color w:val="000000"/>
          <w:sz w:val="19"/>
          <w:szCs w:val="19"/>
        </w:rPr>
        <w:tab/>
        <w:t>3100</w:t>
      </w:r>
    </w:p>
    <w:p w14:paraId="371546B3"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Nexus Reagent Roller</w:t>
      </w:r>
      <w:r w:rsidRPr="0077406D">
        <w:rPr>
          <w:rFonts w:ascii="Arial MT Std" w:hAnsi="Arial MT Std" w:cs="Arial MT Std"/>
          <w:color w:val="000000"/>
          <w:sz w:val="19"/>
          <w:szCs w:val="19"/>
        </w:rPr>
        <w:tab/>
        <w:t>2583</w:t>
      </w:r>
    </w:p>
    <w:p w14:paraId="46461E50"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Nexus Ready Run Kit</w:t>
      </w:r>
      <w:r w:rsidRPr="0077406D">
        <w:rPr>
          <w:rFonts w:ascii="Arial MT Std" w:hAnsi="Arial MT Std" w:cs="Arial MT Std"/>
          <w:color w:val="000000"/>
          <w:sz w:val="19"/>
          <w:szCs w:val="19"/>
        </w:rPr>
        <w:tab/>
        <w:t>2582</w:t>
      </w:r>
    </w:p>
    <w:p w14:paraId="0B05C260" w14:textId="77777777" w:rsidR="0077406D" w:rsidRPr="0077406D" w:rsidRDefault="0077406D" w:rsidP="0077406D">
      <w:pPr>
        <w:tabs>
          <w:tab w:val="left" w:pos="160"/>
          <w:tab w:val="left" w:pos="280"/>
          <w:tab w:val="center" w:pos="44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SPIFE Nexus Carbon Electrode Insert</w:t>
      </w:r>
      <w:r w:rsidRPr="0077406D">
        <w:rPr>
          <w:rFonts w:ascii="Arial MT Std" w:hAnsi="Arial MT Std" w:cs="Arial MT Std"/>
          <w:color w:val="000000"/>
          <w:sz w:val="19"/>
          <w:szCs w:val="19"/>
        </w:rPr>
        <w:tab/>
        <w:t>2576</w:t>
      </w:r>
    </w:p>
    <w:p w14:paraId="76FE9225" w14:textId="77777777" w:rsidR="0077406D" w:rsidRPr="0077406D" w:rsidRDefault="0077406D" w:rsidP="0077406D">
      <w:pPr>
        <w:tabs>
          <w:tab w:val="left" w:pos="180"/>
          <w:tab w:val="left" w:pos="4027"/>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 xml:space="preserve">Materials needed but not provided: </w:t>
      </w:r>
    </w:p>
    <w:p w14:paraId="1F399B44" w14:textId="77777777" w:rsidR="0077406D" w:rsidRPr="0077406D" w:rsidRDefault="0077406D" w:rsidP="0077406D">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0.85% saline</w:t>
      </w:r>
    </w:p>
    <w:p w14:paraId="00064311" w14:textId="77777777" w:rsidR="0077406D" w:rsidRPr="0077406D" w:rsidRDefault="0077406D"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STEP BY STEP METHOD</w:t>
      </w:r>
    </w:p>
    <w:p w14:paraId="561D62D0" w14:textId="2C77755B"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ab/>
        <w:t xml:space="preserve">I. </w:t>
      </w:r>
      <w:r w:rsidRPr="0077406D">
        <w:rPr>
          <w:rFonts w:ascii="Arial MT Std" w:hAnsi="Arial MT Std" w:cs="Arial MT Std"/>
          <w:b/>
          <w:bCs/>
          <w:color w:val="000000"/>
          <w:sz w:val="19"/>
          <w:szCs w:val="19"/>
        </w:rPr>
        <w:tab/>
        <w:t xml:space="preserve">Sample Preparation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r>
      <w:r w:rsidRPr="0077406D">
        <w:rPr>
          <w:rFonts w:ascii="Arial MT Std" w:hAnsi="Arial MT Std" w:cs="Arial MT Std"/>
          <w:color w:val="000000"/>
          <w:sz w:val="19"/>
          <w:szCs w:val="19"/>
        </w:rPr>
        <w:t xml:space="preserve">A. Prepare lysates of patient specimens and controls as instructed in the "Specimen Preparation" section. </w:t>
      </w:r>
    </w:p>
    <w:p w14:paraId="4064A424" w14:textId="7DDDF235"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B. Slide the Disposable Sample Cup strip into the center channel of the Cup Tray (numbered 21 to 40</w:t>
      </w:r>
      <w:proofErr w:type="gramStart"/>
      <w:r w:rsidRPr="0077406D">
        <w:rPr>
          <w:rFonts w:ascii="Arial MT Std" w:hAnsi="Arial MT Std" w:cs="Arial MT Std"/>
          <w:color w:val="000000"/>
          <w:sz w:val="19"/>
          <w:szCs w:val="19"/>
        </w:rPr>
        <w:t>).Ensure</w:t>
      </w:r>
      <w:proofErr w:type="gramEnd"/>
      <w:r w:rsidRPr="0077406D">
        <w:rPr>
          <w:rFonts w:ascii="Arial MT Std" w:hAnsi="Arial MT Std" w:cs="Arial MT Std"/>
          <w:color w:val="000000"/>
          <w:sz w:val="19"/>
          <w:szCs w:val="19"/>
        </w:rPr>
        <w:t xml:space="preserve"> the Sample Cup strip is fully inserted to allow correct placement of tray onto platform.</w:t>
      </w:r>
    </w:p>
    <w:p w14:paraId="6FF9D3E3" w14:textId="46A1C66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C. Pipette 17 µL of patient or control lysate into each of the Disposable Cups. Cover until ready for use.</w:t>
      </w:r>
    </w:p>
    <w:p w14:paraId="5E42B15C" w14:textId="7777777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b/>
          <w:bCs/>
          <w:color w:val="000000"/>
          <w:sz w:val="19"/>
          <w:szCs w:val="19"/>
        </w:rPr>
        <w:tab/>
        <w:t xml:space="preserve">II. </w:t>
      </w:r>
      <w:r w:rsidRPr="0077406D">
        <w:rPr>
          <w:rFonts w:ascii="Arial MT Std" w:hAnsi="Arial MT Std" w:cs="Arial MT Std"/>
          <w:b/>
          <w:bCs/>
          <w:color w:val="000000"/>
          <w:sz w:val="19"/>
          <w:szCs w:val="19"/>
        </w:rPr>
        <w:tab/>
        <w:t>SPIFE Nexus Preparation</w:t>
      </w:r>
      <w:r w:rsidRPr="0077406D">
        <w:rPr>
          <w:rFonts w:ascii="Arial MT Std" w:hAnsi="Arial MT Std" w:cs="Arial MT Std"/>
          <w:color w:val="000000"/>
          <w:sz w:val="19"/>
          <w:szCs w:val="19"/>
        </w:rPr>
        <w:t xml:space="preserve"> </w:t>
      </w:r>
    </w:p>
    <w:p w14:paraId="3F9B070A" w14:textId="47452DAB"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pacing w:val="-6"/>
          <w:sz w:val="19"/>
          <w:szCs w:val="19"/>
        </w:rPr>
        <w:t xml:space="preserve">A. Fill designated bottles with 0.85% saline, deionized water, and </w:t>
      </w:r>
      <w:proofErr w:type="spellStart"/>
      <w:r w:rsidRPr="0077406D">
        <w:rPr>
          <w:rFonts w:ascii="Arial MT Std" w:hAnsi="Arial MT Std" w:cs="Arial MT Std"/>
          <w:color w:val="000000"/>
          <w:spacing w:val="-6"/>
          <w:sz w:val="19"/>
          <w:szCs w:val="19"/>
        </w:rPr>
        <w:t>destain</w:t>
      </w:r>
      <w:proofErr w:type="spellEnd"/>
      <w:r w:rsidRPr="0077406D">
        <w:rPr>
          <w:rFonts w:ascii="Arial MT Std" w:hAnsi="Arial MT Std" w:cs="Arial MT Std"/>
          <w:color w:val="000000"/>
          <w:spacing w:val="-6"/>
          <w:sz w:val="19"/>
          <w:szCs w:val="19"/>
        </w:rPr>
        <w:t>.</w:t>
      </w:r>
      <w:r w:rsidRPr="0077406D">
        <w:rPr>
          <w:rFonts w:ascii="Arial MT Std" w:hAnsi="Arial MT Std" w:cs="Arial MT Std"/>
          <w:color w:val="000000"/>
          <w:sz w:val="19"/>
          <w:szCs w:val="19"/>
        </w:rPr>
        <w:t xml:space="preserve"> </w:t>
      </w:r>
    </w:p>
    <w:p w14:paraId="3969E4B3" w14:textId="43F5C134"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pacing w:val="-7"/>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pacing w:val="-7"/>
          <w:sz w:val="19"/>
          <w:szCs w:val="19"/>
        </w:rPr>
        <w:t>B. Turn on the SPIFE Nexus. Click on the SPIFE Nexus icon to initialize.</w:t>
      </w:r>
    </w:p>
    <w:p w14:paraId="2E77673E" w14:textId="4601B7B0"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C. If this is the first test of the day, prime the instrument according to the instructions in the SPIFE Nexus Operator’s Manual.</w:t>
      </w:r>
    </w:p>
    <w:p w14:paraId="35C0828D" w14:textId="4AF0C5EF"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D. Open the main door of the instrument and prepare the items onboard the instrument.</w:t>
      </w:r>
    </w:p>
    <w:p w14:paraId="355D2A93" w14:textId="11E64A5A"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1. Ensure that the following items are in their respective onboard storage locations: </w:t>
      </w:r>
      <w:r w:rsidRPr="0077406D">
        <w:rPr>
          <w:rFonts w:ascii="Arial MT Std" w:hAnsi="Arial MT Std" w:cs="Arial MT Std"/>
          <w:b/>
          <w:bCs/>
          <w:color w:val="000000"/>
          <w:sz w:val="19"/>
          <w:szCs w:val="19"/>
        </w:rPr>
        <w:t>Platen Cover</w:t>
      </w:r>
      <w:r w:rsidRPr="0077406D">
        <w:rPr>
          <w:rFonts w:ascii="Arial MT Std" w:hAnsi="Arial MT Std" w:cs="Arial MT Std"/>
          <w:color w:val="000000"/>
          <w:sz w:val="19"/>
          <w:szCs w:val="19"/>
        </w:rPr>
        <w:t xml:space="preserve"> with the Carbon Electrode Insert and </w:t>
      </w:r>
      <w:r w:rsidRPr="0077406D">
        <w:rPr>
          <w:rFonts w:ascii="Arial MT Std" w:hAnsi="Arial MT Std" w:cs="Arial MT Std"/>
          <w:b/>
          <w:bCs/>
          <w:color w:val="000000"/>
          <w:sz w:val="19"/>
          <w:szCs w:val="19"/>
        </w:rPr>
        <w:t xml:space="preserve">Dryer Cover </w:t>
      </w:r>
      <w:r w:rsidRPr="0077406D">
        <w:rPr>
          <w:rFonts w:ascii="Arial MT Std" w:hAnsi="Arial MT Std" w:cs="Arial MT Std"/>
          <w:color w:val="000000"/>
          <w:sz w:val="19"/>
          <w:szCs w:val="19"/>
        </w:rPr>
        <w:t xml:space="preserve">with the red sticker toward the back of the instrument. </w:t>
      </w:r>
    </w:p>
    <w:p w14:paraId="52370A97" w14:textId="4ABF2115"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2. Place the prepared </w:t>
      </w:r>
      <w:r w:rsidRPr="0077406D">
        <w:rPr>
          <w:rFonts w:ascii="Arial MT Std" w:hAnsi="Arial MT Std" w:cs="Arial MT Std"/>
          <w:b/>
          <w:bCs/>
          <w:color w:val="000000"/>
          <w:sz w:val="19"/>
          <w:szCs w:val="19"/>
        </w:rPr>
        <w:t>SAMPLE CUP TRAY</w:t>
      </w:r>
      <w:r w:rsidRPr="0077406D">
        <w:rPr>
          <w:rFonts w:ascii="Arial MT Std" w:hAnsi="Arial MT Std" w:cs="Arial MT Std"/>
          <w:color w:val="000000"/>
          <w:sz w:val="19"/>
          <w:szCs w:val="19"/>
        </w:rPr>
        <w:t xml:space="preserve"> onto the sample tray platform.</w:t>
      </w:r>
    </w:p>
    <w:p w14:paraId="249E1DBF" w14:textId="7777777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tab/>
        <w:t>3. Stain/Reagent Dispenser</w:t>
      </w:r>
    </w:p>
    <w:p w14:paraId="60E7E886" w14:textId="2164F9EC"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a. </w:t>
      </w:r>
      <w:r w:rsidRPr="0077406D">
        <w:rPr>
          <w:rFonts w:ascii="Arial MT Std" w:hAnsi="Arial MT Std" w:cs="Arial MT Std"/>
          <w:color w:val="000000"/>
          <w:sz w:val="19"/>
          <w:szCs w:val="19"/>
        </w:rPr>
        <w:tab/>
        <w:t xml:space="preserve">Fill three Stain Cups each with 700 µL of SPIFE Nexus Blue stain and place a Stain Cup in each slot of the Stain/Reagent Dispenser. </w:t>
      </w:r>
    </w:p>
    <w:p w14:paraId="3BD0491A" w14:textId="2929430D"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b. Place a clean Reagent Roller bar between the hooks on the Stain/Reagent Dispenser.</w:t>
      </w:r>
    </w:p>
    <w:p w14:paraId="40913DEA" w14:textId="7777777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tab/>
        <w:t>4. Consumables Tray</w:t>
      </w:r>
    </w:p>
    <w:p w14:paraId="1F012130" w14:textId="653CED4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pacing w:val="-9"/>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a. </w:t>
      </w:r>
      <w:r w:rsidRPr="0077406D">
        <w:rPr>
          <w:rFonts w:ascii="Arial MT Std" w:hAnsi="Arial MT Std" w:cs="Arial MT Std"/>
          <w:color w:val="000000"/>
          <w:sz w:val="19"/>
          <w:szCs w:val="19"/>
        </w:rPr>
        <w:tab/>
        <w:t>Slide the Consumables Tray forward from its home position.</w:t>
      </w:r>
    </w:p>
    <w:p w14:paraId="0962E67D" w14:textId="7777777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b. </w:t>
      </w:r>
      <w:r w:rsidRPr="0077406D">
        <w:rPr>
          <w:rFonts w:ascii="Arial MT Std" w:hAnsi="Arial MT Std" w:cs="Arial MT Std"/>
          <w:color w:val="000000"/>
          <w:sz w:val="19"/>
          <w:szCs w:val="19"/>
        </w:rPr>
        <w:tab/>
        <w:t>Prepare the Applicator Holder</w:t>
      </w:r>
    </w:p>
    <w:p w14:paraId="3230F7CB" w14:textId="6D67AAB6"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(1) Place an Acid HB Applicator Blade Template on top of the Applicator Holder. </w:t>
      </w:r>
    </w:p>
    <w:p w14:paraId="1B9EEAEF" w14:textId="3D0CF3DD"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(2) Place an Applicator Blade in the designated slot corresponding to the sample cups loaded within the sample tray. </w:t>
      </w:r>
      <w:r w:rsidRPr="0077406D">
        <w:rPr>
          <w:rFonts w:ascii="Arial MT Std" w:hAnsi="Arial MT Std" w:cs="Arial MT Std"/>
          <w:b/>
          <w:bCs/>
          <w:color w:val="000000"/>
          <w:sz w:val="19"/>
          <w:szCs w:val="19"/>
        </w:rPr>
        <w:t>NOTE: The Applicator Blades will only fit into the slots in the Applicator Holder one way; do not try to force the Applicator Blades into the slots.</w:t>
      </w:r>
      <w:r w:rsidRPr="0077406D">
        <w:rPr>
          <w:rFonts w:ascii="Arial MT Std" w:hAnsi="Arial MT Std" w:cs="Arial MT Std"/>
          <w:color w:val="000000"/>
          <w:sz w:val="19"/>
          <w:szCs w:val="19"/>
        </w:rPr>
        <w:t xml:space="preserve">  </w:t>
      </w:r>
    </w:p>
    <w:p w14:paraId="3AA7918A" w14:textId="34F446EB"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(3) Place the Applicator Blade Weight on top of the Applicator Blade with the thick side facing the front of the instrument.</w:t>
      </w:r>
    </w:p>
    <w:p w14:paraId="4987363F" w14:textId="41AFC1A1"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c. </w:t>
      </w:r>
      <w:r w:rsidRPr="0077406D">
        <w:rPr>
          <w:rFonts w:ascii="Arial MT Std" w:hAnsi="Arial MT Std" w:cs="Arial MT Std"/>
          <w:color w:val="000000"/>
          <w:sz w:val="19"/>
          <w:szCs w:val="19"/>
        </w:rPr>
        <w:tab/>
        <w:t>Slide the Consumables Tray into position in the back of the instrument.</w:t>
      </w:r>
    </w:p>
    <w:p w14:paraId="6338E3EE" w14:textId="7777777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tab/>
        <w:t>5.</w:t>
      </w:r>
      <w:r w:rsidRPr="0077406D">
        <w:rPr>
          <w:rFonts w:ascii="Arial MT Std" w:hAnsi="Arial MT Std" w:cs="Arial MT Std"/>
          <w:b/>
          <w:bCs/>
          <w:color w:val="000000"/>
          <w:sz w:val="19"/>
          <w:szCs w:val="19"/>
        </w:rPr>
        <w:tab/>
        <w:t xml:space="preserve"> Gel Cassette</w:t>
      </w:r>
    </w:p>
    <w:p w14:paraId="188D0186" w14:textId="46793633"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a. </w:t>
      </w:r>
      <w:r w:rsidRPr="0077406D">
        <w:rPr>
          <w:rFonts w:ascii="Arial MT Std" w:hAnsi="Arial MT Std" w:cs="Arial MT Std"/>
          <w:color w:val="000000"/>
          <w:sz w:val="19"/>
          <w:szCs w:val="19"/>
        </w:rPr>
        <w:tab/>
        <w:t>Place the bottom half of the Gel Cassette on the electrophoresis platen with the two pins lined up on the left side.</w:t>
      </w:r>
    </w:p>
    <w:p w14:paraId="74801FE8" w14:textId="7777777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b. </w:t>
      </w:r>
      <w:r w:rsidRPr="0077406D">
        <w:rPr>
          <w:rFonts w:ascii="Arial MT Std" w:hAnsi="Arial MT Std" w:cs="Arial MT Std"/>
          <w:color w:val="000000"/>
          <w:sz w:val="19"/>
          <w:szCs w:val="19"/>
        </w:rPr>
        <w:tab/>
        <w:t>Dispense 2 mL of REP Prep on the platen.</w:t>
      </w:r>
    </w:p>
    <w:p w14:paraId="72550A41" w14:textId="5E7D2ECE"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lastRenderedPageBreak/>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c. Remove the gel from the protective packaging and discard the overlay. </w:t>
      </w:r>
    </w:p>
    <w:p w14:paraId="43774CEF" w14:textId="08C6D28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d.</w:t>
      </w:r>
      <w:r w:rsidRPr="0077406D">
        <w:rPr>
          <w:rFonts w:ascii="Arial MT Std" w:hAnsi="Arial MT Std" w:cs="Arial MT Std"/>
          <w:color w:val="000000"/>
          <w:sz w:val="19"/>
          <w:szCs w:val="19"/>
        </w:rPr>
        <w:tab/>
        <w:t>Using a REP Blotter C, gently blot the entire gel. Discard the blotter.</w:t>
      </w:r>
    </w:p>
    <w:p w14:paraId="52CF4743" w14:textId="3498B79A"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e.</w:t>
      </w:r>
      <w:r w:rsidRPr="0077406D">
        <w:rPr>
          <w:rFonts w:ascii="Arial MT Std" w:hAnsi="Arial MT Std" w:cs="Arial MT Std"/>
          <w:color w:val="000000"/>
          <w:sz w:val="19"/>
          <w:szCs w:val="19"/>
        </w:rPr>
        <w:tab/>
        <w:t xml:space="preserve">Place the left edge of the gel into the bottom of the cassette fitting the round hole over the upper pin and the obround hole over the lower pin. Gently lay the gel down over the REP Prep making sure no bubbles remain under the gel. </w:t>
      </w:r>
    </w:p>
    <w:p w14:paraId="74EDB864" w14:textId="03797C64"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f. </w:t>
      </w:r>
      <w:r w:rsidRPr="0077406D">
        <w:rPr>
          <w:rFonts w:ascii="Arial MT Std" w:hAnsi="Arial MT Std" w:cs="Arial MT Std"/>
          <w:color w:val="000000"/>
          <w:sz w:val="19"/>
          <w:szCs w:val="19"/>
        </w:rPr>
        <w:tab/>
        <w:t xml:space="preserve">Place the top half of the Gel Cassette over the gel. Make sure the 2D barcode is located in the upper right corner of the cassette.  </w:t>
      </w:r>
    </w:p>
    <w:p w14:paraId="5EC7D979" w14:textId="7627E215"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pacing w:val="-7"/>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 xml:space="preserve">g. </w:t>
      </w:r>
      <w:r w:rsidRPr="0077406D">
        <w:rPr>
          <w:rFonts w:ascii="Arial MT Std" w:hAnsi="Arial MT Std" w:cs="Arial MT Std"/>
          <w:color w:val="000000"/>
          <w:spacing w:val="-7"/>
          <w:sz w:val="19"/>
          <w:szCs w:val="19"/>
        </w:rPr>
        <w:t xml:space="preserve">Place a Positive ID Barcode Label on the upper </w:t>
      </w:r>
      <w:proofErr w:type="gramStart"/>
      <w:r w:rsidRPr="0077406D">
        <w:rPr>
          <w:rFonts w:ascii="Arial MT Std" w:hAnsi="Arial MT Std" w:cs="Arial MT Std"/>
          <w:color w:val="000000"/>
          <w:spacing w:val="-7"/>
          <w:sz w:val="19"/>
          <w:szCs w:val="19"/>
        </w:rPr>
        <w:t>right hand</w:t>
      </w:r>
      <w:proofErr w:type="gramEnd"/>
      <w:r w:rsidRPr="0077406D">
        <w:rPr>
          <w:rFonts w:ascii="Arial MT Std" w:hAnsi="Arial MT Std" w:cs="Arial MT Std"/>
          <w:color w:val="000000"/>
          <w:spacing w:val="-7"/>
          <w:sz w:val="19"/>
          <w:szCs w:val="19"/>
        </w:rPr>
        <w:t xml:space="preserve"> side of the gel backing. Select the barcode that starts with the letter “G”.</w:t>
      </w:r>
    </w:p>
    <w:p w14:paraId="33EEEE9E" w14:textId="7777777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E. Close the main door of the instrument.</w:t>
      </w:r>
    </w:p>
    <w:p w14:paraId="7045004F" w14:textId="77777777"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b/>
          <w:bCs/>
          <w:color w:val="000000"/>
          <w:sz w:val="19"/>
          <w:szCs w:val="19"/>
        </w:rPr>
        <w:t xml:space="preserve">III. </w:t>
      </w:r>
      <w:r w:rsidRPr="0077406D">
        <w:rPr>
          <w:rFonts w:ascii="Arial MT Std" w:hAnsi="Arial MT Std" w:cs="Arial MT Std"/>
          <w:b/>
          <w:bCs/>
          <w:color w:val="000000"/>
          <w:sz w:val="19"/>
          <w:szCs w:val="19"/>
        </w:rPr>
        <w:tab/>
        <w:t>Automated Gel Electrophoresis</w:t>
      </w:r>
      <w:r w:rsidRPr="0077406D">
        <w:rPr>
          <w:rFonts w:ascii="Arial MT Std" w:hAnsi="Arial MT Std" w:cs="Arial MT Std"/>
          <w:color w:val="000000"/>
          <w:sz w:val="19"/>
          <w:szCs w:val="19"/>
        </w:rPr>
        <w:t xml:space="preserve"> </w:t>
      </w:r>
    </w:p>
    <w:p w14:paraId="2229B988" w14:textId="73193989"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r>
      <w:r w:rsidRPr="0077406D">
        <w:rPr>
          <w:rFonts w:ascii="Arial MT Std" w:hAnsi="Arial MT Std" w:cs="Arial MT Std"/>
          <w:color w:val="000000"/>
          <w:spacing w:val="-6"/>
          <w:sz w:val="19"/>
          <w:szCs w:val="19"/>
        </w:rPr>
        <w:t>A.</w:t>
      </w:r>
      <w:r w:rsidRPr="0077406D">
        <w:rPr>
          <w:rFonts w:ascii="Arial MT Std" w:hAnsi="Arial MT Std" w:cs="Arial MT Std"/>
          <w:color w:val="000000"/>
          <w:spacing w:val="-1"/>
          <w:sz w:val="19"/>
          <w:szCs w:val="19"/>
        </w:rPr>
        <w:t xml:space="preserve"> Click the Start button on the menu bar. Select the </w:t>
      </w:r>
      <w:r w:rsidRPr="0077406D">
        <w:rPr>
          <w:rFonts w:ascii="Arial MT Std" w:hAnsi="Arial MT Std" w:cs="Arial MT Std"/>
          <w:b/>
          <w:bCs/>
          <w:color w:val="000000"/>
          <w:spacing w:val="-1"/>
          <w:sz w:val="19"/>
          <w:szCs w:val="19"/>
        </w:rPr>
        <w:t>SPIFE</w:t>
      </w:r>
      <w:r w:rsidRPr="0077406D">
        <w:rPr>
          <w:rFonts w:ascii="Arial MT Std" w:hAnsi="Arial MT Std" w:cs="Arial MT Std"/>
          <w:color w:val="000000"/>
          <w:spacing w:val="-1"/>
          <w:sz w:val="19"/>
          <w:szCs w:val="19"/>
        </w:rPr>
        <w:t xml:space="preserve"> </w:t>
      </w:r>
      <w:r w:rsidRPr="0077406D">
        <w:rPr>
          <w:rFonts w:ascii="Arial MT Std" w:hAnsi="Arial MT Std" w:cs="Arial MT Std"/>
          <w:b/>
          <w:bCs/>
          <w:color w:val="000000"/>
          <w:spacing w:val="-1"/>
          <w:sz w:val="19"/>
          <w:szCs w:val="19"/>
        </w:rPr>
        <w:t>Acid Hemoglobin 20 (Acid Blue)</w:t>
      </w:r>
      <w:r w:rsidRPr="0077406D">
        <w:rPr>
          <w:rFonts w:ascii="Arial MT Std" w:hAnsi="Arial MT Std" w:cs="Arial MT Std"/>
          <w:color w:val="000000"/>
          <w:spacing w:val="-1"/>
          <w:sz w:val="19"/>
          <w:szCs w:val="19"/>
        </w:rPr>
        <w:t xml:space="preserve"> test name from the </w:t>
      </w:r>
      <w:proofErr w:type="gramStart"/>
      <w:r w:rsidRPr="0077406D">
        <w:rPr>
          <w:rFonts w:ascii="Arial MT Std" w:hAnsi="Arial MT Std" w:cs="Arial MT Std"/>
          <w:color w:val="000000"/>
          <w:spacing w:val="-1"/>
          <w:sz w:val="19"/>
          <w:szCs w:val="19"/>
        </w:rPr>
        <w:t>drop down</w:t>
      </w:r>
      <w:proofErr w:type="gramEnd"/>
      <w:r w:rsidRPr="0077406D">
        <w:rPr>
          <w:rFonts w:ascii="Arial MT Std" w:hAnsi="Arial MT Std" w:cs="Arial MT Std"/>
          <w:color w:val="000000"/>
          <w:spacing w:val="-1"/>
          <w:sz w:val="19"/>
          <w:szCs w:val="19"/>
        </w:rPr>
        <w:t xml:space="preserve"> menu. Ensure the toggles for all Run Processes are set to “Yes” and click the Start Run button. The analyzer will load samples when appropriate, apply samples, electrophorese, stain, </w:t>
      </w:r>
      <w:proofErr w:type="spellStart"/>
      <w:r w:rsidRPr="0077406D">
        <w:rPr>
          <w:rFonts w:ascii="Arial MT Std" w:hAnsi="Arial MT Std" w:cs="Arial MT Std"/>
          <w:color w:val="000000"/>
          <w:spacing w:val="-1"/>
          <w:sz w:val="19"/>
          <w:szCs w:val="19"/>
        </w:rPr>
        <w:t>destain</w:t>
      </w:r>
      <w:proofErr w:type="spellEnd"/>
      <w:r w:rsidRPr="0077406D">
        <w:rPr>
          <w:rFonts w:ascii="Arial MT Std" w:hAnsi="Arial MT Std" w:cs="Arial MT Std"/>
          <w:color w:val="000000"/>
          <w:spacing w:val="-1"/>
          <w:sz w:val="19"/>
          <w:szCs w:val="19"/>
        </w:rPr>
        <w:t xml:space="preserve">, dry and scan the gel. For details of Automated Gel Electrophoresis, contact Technical Services. </w:t>
      </w:r>
    </w:p>
    <w:p w14:paraId="35BF605D" w14:textId="29C12AFE"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B. After scanning, the Gel Cassette with the finished gel will be located in the scanner port on the front side of the instrument. If gel storage is required, remove and discard the two gel blocks.</w:t>
      </w:r>
    </w:p>
    <w:p w14:paraId="09E08DFB" w14:textId="729B0D3D" w:rsidR="0077406D" w:rsidRPr="0077406D" w:rsidRDefault="0077406D" w:rsidP="0077406D">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r>
      <w:r w:rsidRPr="0077406D">
        <w:rPr>
          <w:rFonts w:ascii="Arial MT Std" w:hAnsi="Arial MT Std" w:cs="Arial MT Std"/>
          <w:color w:val="000000"/>
          <w:sz w:val="19"/>
          <w:szCs w:val="19"/>
        </w:rPr>
        <w:tab/>
        <w:t>C. After every test: discard the used blotters, Applicator Blades, Stain Cups and sample cups as biohazardous waste. Clean any residual stain from the electrophoresis platen, Gel Cassette and the Reagent Roller bar. For daily, weekly, and monthly maintenance reference the SPIFE Nexus Operator's Manual.</w:t>
      </w:r>
    </w:p>
    <w:p w14:paraId="0B27BB2B" w14:textId="36C76C5E" w:rsidR="0077406D" w:rsidRPr="0077406D" w:rsidRDefault="0077406D" w:rsidP="0077406D">
      <w:pPr>
        <w:tabs>
          <w:tab w:val="left" w:pos="120"/>
          <w:tab w:val="left" w:pos="360"/>
        </w:tabs>
        <w:autoSpaceDE w:val="0"/>
        <w:autoSpaceDN w:val="0"/>
        <w:adjustRightInd w:val="0"/>
        <w:spacing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Evaluation of the Hemoglobin Bands</w:t>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br/>
        <w:t xml:space="preserve">The hemoglobin gel should be inspected visually for the presence of abnormal hemoglobin bands. Glycated hemoglobin migrates with </w:t>
      </w:r>
      <w:proofErr w:type="spellStart"/>
      <w:r w:rsidRPr="0077406D">
        <w:rPr>
          <w:rFonts w:ascii="Arial MT Std" w:hAnsi="Arial MT Std" w:cs="Arial MT Std"/>
          <w:color w:val="000000"/>
          <w:sz w:val="19"/>
          <w:szCs w:val="19"/>
        </w:rPr>
        <w:t>HbF</w:t>
      </w:r>
      <w:proofErr w:type="spellEnd"/>
      <w:r w:rsidRPr="0077406D">
        <w:rPr>
          <w:rFonts w:ascii="Arial MT Std" w:hAnsi="Arial MT Std" w:cs="Arial MT Std"/>
          <w:color w:val="000000"/>
          <w:sz w:val="19"/>
          <w:szCs w:val="19"/>
        </w:rPr>
        <w:t xml:space="preserve">. The Helena AFSC </w:t>
      </w:r>
      <w:proofErr w:type="spellStart"/>
      <w:r w:rsidRPr="0077406D">
        <w:rPr>
          <w:rFonts w:ascii="Arial MT Std" w:hAnsi="Arial MT Std" w:cs="Arial MT Std"/>
          <w:color w:val="000000"/>
          <w:sz w:val="19"/>
          <w:szCs w:val="19"/>
        </w:rPr>
        <w:t>Hemo</w:t>
      </w:r>
      <w:proofErr w:type="spellEnd"/>
      <w:r w:rsidRPr="0077406D">
        <w:rPr>
          <w:rFonts w:ascii="Arial MT Std" w:hAnsi="Arial MT Std" w:cs="Arial MT Std"/>
          <w:color w:val="000000"/>
          <w:sz w:val="19"/>
          <w:szCs w:val="19"/>
        </w:rPr>
        <w:t xml:space="preserve"> Control provides a marker for band identification.</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Stability of End Product:</w:t>
      </w:r>
      <w:r w:rsidRPr="0077406D">
        <w:rPr>
          <w:rFonts w:ascii="Arial MT Std" w:hAnsi="Arial MT Std" w:cs="Arial MT Std"/>
          <w:color w:val="000000"/>
          <w:sz w:val="19"/>
          <w:szCs w:val="19"/>
        </w:rPr>
        <w:t xml:space="preserve"> The dried gels are stable for an indefinite period of time. </w:t>
      </w:r>
      <w:r w:rsidRPr="0077406D">
        <w:rPr>
          <w:rFonts w:ascii="Arial MT Std" w:hAnsi="Arial MT Std" w:cs="Arial MT Std"/>
          <w:b/>
          <w:bCs/>
          <w:color w:val="000000"/>
          <w:sz w:val="19"/>
          <w:szCs w:val="19"/>
        </w:rPr>
        <w:tab/>
      </w:r>
      <w:r w:rsidRPr="0077406D">
        <w:rPr>
          <w:rFonts w:ascii="Arial MT Std" w:hAnsi="Arial MT Std" w:cs="Arial MT Std"/>
          <w:b/>
          <w:bCs/>
          <w:color w:val="000000"/>
          <w:sz w:val="19"/>
          <w:szCs w:val="19"/>
        </w:rPr>
        <w:br/>
        <w:t>Quality Control:</w:t>
      </w:r>
      <w:r w:rsidRPr="0077406D">
        <w:rPr>
          <w:rFonts w:ascii="Arial MT Std" w:hAnsi="Arial MT Std" w:cs="Arial MT Std"/>
          <w:color w:val="000000"/>
          <w:sz w:val="19"/>
          <w:szCs w:val="19"/>
        </w:rPr>
        <w:t xml:space="preserve"> The Helena AFSC </w:t>
      </w:r>
      <w:proofErr w:type="spellStart"/>
      <w:r w:rsidRPr="0077406D">
        <w:rPr>
          <w:rFonts w:ascii="Arial MT Std" w:hAnsi="Arial MT Std" w:cs="Arial MT Std"/>
          <w:color w:val="000000"/>
          <w:sz w:val="19"/>
          <w:szCs w:val="19"/>
        </w:rPr>
        <w:t>Hemo</w:t>
      </w:r>
      <w:proofErr w:type="spellEnd"/>
      <w:r w:rsidRPr="0077406D">
        <w:rPr>
          <w:rFonts w:ascii="Arial MT Std" w:hAnsi="Arial MT Std" w:cs="Arial MT Std"/>
          <w:color w:val="000000"/>
          <w:sz w:val="19"/>
          <w:szCs w:val="19"/>
        </w:rPr>
        <w:t xml:space="preserve"> Control (Cat. No. 5331) should be run on each SPIFE Nexus Acid Hemoglobin Gel. The control verifies all phases of the procedure and acts as a marker to aid in the identification of the </w:t>
      </w:r>
      <w:proofErr w:type="spellStart"/>
      <w:r w:rsidRPr="0077406D">
        <w:rPr>
          <w:rFonts w:ascii="Arial MT Std" w:hAnsi="Arial MT Std" w:cs="Arial MT Std"/>
          <w:color w:val="000000"/>
          <w:sz w:val="19"/>
          <w:szCs w:val="19"/>
        </w:rPr>
        <w:t>hemoglobins</w:t>
      </w:r>
      <w:proofErr w:type="spellEnd"/>
      <w:r w:rsidRPr="0077406D">
        <w:rPr>
          <w:rFonts w:ascii="Arial MT Std" w:hAnsi="Arial MT Std" w:cs="Arial MT Std"/>
          <w:color w:val="000000"/>
          <w:sz w:val="19"/>
          <w:szCs w:val="19"/>
        </w:rPr>
        <w:t xml:space="preserve"> in the unknown samples.</w:t>
      </w:r>
    </w:p>
    <w:p w14:paraId="0E440DA8" w14:textId="0505A56D" w:rsidR="0077406D" w:rsidRPr="0077406D" w:rsidRDefault="0077406D" w:rsidP="0077406D">
      <w:pPr>
        <w:tabs>
          <w:tab w:val="left" w:pos="280"/>
          <w:tab w:val="left" w:pos="480"/>
          <w:tab w:val="left" w:pos="720"/>
        </w:tabs>
        <w:autoSpaceDE w:val="0"/>
        <w:autoSpaceDN w:val="0"/>
        <w:adjustRightInd w:val="0"/>
        <w:spacing w:before="9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RESULTS</w:t>
      </w:r>
    </w:p>
    <w:p w14:paraId="0592DB76" w14:textId="6367FC45" w:rsidR="00647FD3" w:rsidRPr="0077406D" w:rsidRDefault="0077406D" w:rsidP="0077406D">
      <w:pPr>
        <w:autoSpaceDE w:val="0"/>
        <w:autoSpaceDN w:val="0"/>
        <w:adjustRightInd w:val="0"/>
        <w:spacing w:line="288" w:lineRule="auto"/>
        <w:jc w:val="both"/>
        <w:textAlignment w:val="center"/>
        <w:rPr>
          <w:noProof/>
        </w:rPr>
      </w:pPr>
      <w:r w:rsidRPr="0077406D">
        <w:rPr>
          <w:rFonts w:ascii="Arial MT Std" w:hAnsi="Arial MT Std" w:cs="Arial MT Std"/>
          <w:b/>
          <w:bCs/>
          <w:color w:val="000000"/>
          <w:sz w:val="19"/>
          <w:szCs w:val="19"/>
        </w:rPr>
        <w:t>Figure 1 illustrates the electrophoretic mobility of bands on the SPIFE Nexus Acid Hemoglobin Gel.</w:t>
      </w:r>
      <w:r w:rsidR="00647FD3" w:rsidRPr="00647FD3">
        <w:rPr>
          <w:noProof/>
        </w:rPr>
        <w:t xml:space="preserve"> </w:t>
      </w:r>
    </w:p>
    <w:p w14:paraId="42F16A66" w14:textId="66953651"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r w:rsidRPr="00647FD3">
        <w:rPr>
          <w:rFonts w:ascii="Arial MT Std" w:hAnsi="Arial MT Std" w:cs="Arial MT Std"/>
          <w:b/>
          <w:bCs/>
          <w:color w:val="000000"/>
          <w:sz w:val="19"/>
          <w:szCs w:val="19"/>
        </w:rPr>
        <w:drawing>
          <wp:anchor distT="0" distB="0" distL="114300" distR="114300" simplePos="0" relativeHeight="251662336" behindDoc="0" locked="0" layoutInCell="1" allowOverlap="1" wp14:anchorId="00514F2E" wp14:editId="18B692CD">
            <wp:simplePos x="0" y="0"/>
            <wp:positionH relativeFrom="column">
              <wp:posOffset>25400</wp:posOffset>
            </wp:positionH>
            <wp:positionV relativeFrom="paragraph">
              <wp:posOffset>94810</wp:posOffset>
            </wp:positionV>
            <wp:extent cx="1805905" cy="3762303"/>
            <wp:effectExtent l="0" t="0" r="0" b="0"/>
            <wp:wrapNone/>
            <wp:docPr id="163369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1436" name=""/>
                    <pic:cNvPicPr/>
                  </pic:nvPicPr>
                  <pic:blipFill>
                    <a:blip r:embed="rId6">
                      <a:extLst>
                        <a:ext uri="{28A0092B-C50C-407E-A947-70E740481C1C}">
                          <a14:useLocalDpi xmlns:a14="http://schemas.microsoft.com/office/drawing/2010/main" val="0"/>
                        </a:ext>
                      </a:extLst>
                    </a:blip>
                    <a:stretch>
                      <a:fillRect/>
                    </a:stretch>
                  </pic:blipFill>
                  <pic:spPr>
                    <a:xfrm>
                      <a:off x="0" y="0"/>
                      <a:ext cx="1805905" cy="3762303"/>
                    </a:xfrm>
                    <a:prstGeom prst="rect">
                      <a:avLst/>
                    </a:prstGeom>
                  </pic:spPr>
                </pic:pic>
              </a:graphicData>
            </a:graphic>
            <wp14:sizeRelH relativeFrom="page">
              <wp14:pctWidth>0</wp14:pctWidth>
            </wp14:sizeRelH>
            <wp14:sizeRelV relativeFrom="page">
              <wp14:pctHeight>0</wp14:pctHeight>
            </wp14:sizeRelV>
          </wp:anchor>
        </w:drawing>
      </w:r>
    </w:p>
    <w:p w14:paraId="00C647F0" w14:textId="262765C5"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2D20014F" w14:textId="026864AA"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6B5F1592" w14:textId="6244DAFD"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4B4E2484" w14:textId="20AEA24D"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79223234"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2D33718B"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3B205941" w14:textId="30E56CA4"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003162D4" w14:textId="7476E20F"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4CF26C0F" w14:textId="31032B88"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20379E49"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347FB3F6"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69570D52"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5F19B3BD"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4B471540"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0A502B5F"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524B8FE4"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0F17B182"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24CDC4BA"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0B64F793"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66D4CA35" w14:textId="77777777" w:rsidR="00647FD3" w:rsidRDefault="00647FD3"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p>
    <w:p w14:paraId="007935DE" w14:textId="3B7A8889" w:rsidR="0077406D" w:rsidRDefault="0077406D"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lastRenderedPageBreak/>
        <w:t>LIMITATIONS</w:t>
      </w:r>
    </w:p>
    <w:p w14:paraId="45142904" w14:textId="69F70065" w:rsidR="0077406D" w:rsidRPr="0077406D" w:rsidRDefault="0077406D" w:rsidP="0077406D">
      <w:pPr>
        <w:autoSpaceDE w:val="0"/>
        <w:autoSpaceDN w:val="0"/>
        <w:adjustRightInd w:val="0"/>
        <w:spacing w:before="43"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Some abnormal </w:t>
      </w:r>
      <w:proofErr w:type="spellStart"/>
      <w:r w:rsidRPr="0077406D">
        <w:rPr>
          <w:rFonts w:ascii="Arial MT Std" w:hAnsi="Arial MT Std" w:cs="Arial MT Std"/>
          <w:color w:val="000000"/>
          <w:sz w:val="19"/>
          <w:szCs w:val="19"/>
        </w:rPr>
        <w:t>hemoglobins</w:t>
      </w:r>
      <w:proofErr w:type="spellEnd"/>
      <w:r w:rsidRPr="0077406D">
        <w:rPr>
          <w:rFonts w:ascii="Arial MT Std" w:hAnsi="Arial MT Std" w:cs="Arial MT Std"/>
          <w:color w:val="000000"/>
          <w:sz w:val="19"/>
          <w:szCs w:val="19"/>
        </w:rPr>
        <w:t xml:space="preserve"> have similar electrophoretic mobilities and must be differentiated by other methodologies. Further testing required: </w:t>
      </w:r>
    </w:p>
    <w:p w14:paraId="31764E1B" w14:textId="2A53481F" w:rsidR="0077406D" w:rsidRPr="0077406D" w:rsidRDefault="0077406D" w:rsidP="0077406D">
      <w:pPr>
        <w:tabs>
          <w:tab w:val="left" w:pos="1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1.</w:t>
      </w:r>
      <w:r w:rsidRPr="0077406D">
        <w:rPr>
          <w:rFonts w:ascii="Arial MT Std" w:hAnsi="Arial MT Std" w:cs="Arial MT Std"/>
          <w:color w:val="000000"/>
          <w:sz w:val="19"/>
          <w:szCs w:val="19"/>
        </w:rPr>
        <w:tab/>
        <w:t xml:space="preserve"> Due to the high prevalence of </w:t>
      </w:r>
      <w:proofErr w:type="spellStart"/>
      <w:r w:rsidRPr="0077406D">
        <w:rPr>
          <w:rFonts w:ascii="Arial MT Std" w:hAnsi="Arial MT Std" w:cs="Arial MT Std"/>
          <w:color w:val="000000"/>
          <w:sz w:val="19"/>
          <w:szCs w:val="19"/>
        </w:rPr>
        <w:t>HbF</w:t>
      </w:r>
      <w:proofErr w:type="spellEnd"/>
      <w:r w:rsidRPr="0077406D">
        <w:rPr>
          <w:rFonts w:ascii="Arial MT Std" w:hAnsi="Arial MT Std" w:cs="Arial MT Std"/>
          <w:color w:val="000000"/>
          <w:sz w:val="19"/>
          <w:szCs w:val="19"/>
        </w:rPr>
        <w:t xml:space="preserve"> the sample may need to be redrawn in one or two weeks. </w:t>
      </w:r>
    </w:p>
    <w:p w14:paraId="229F23F9" w14:textId="58029C63" w:rsidR="0077406D" w:rsidRPr="0077406D" w:rsidRDefault="0077406D" w:rsidP="0077406D">
      <w:pPr>
        <w:tabs>
          <w:tab w:val="left" w:pos="1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2. Molecular methods (DNA Analysis) may be required for definitive diagnosis.</w:t>
      </w:r>
    </w:p>
    <w:p w14:paraId="33D33AC3" w14:textId="067F86E5" w:rsidR="0077406D" w:rsidRPr="0077406D" w:rsidRDefault="0077406D" w:rsidP="00647FD3">
      <w:pPr>
        <w:tabs>
          <w:tab w:val="left" w:pos="18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3.</w:t>
      </w:r>
      <w:r w:rsidRPr="0077406D">
        <w:rPr>
          <w:rFonts w:ascii="Arial MT Std" w:hAnsi="Arial MT Std" w:cs="Arial MT Std"/>
          <w:color w:val="000000"/>
          <w:sz w:val="19"/>
          <w:szCs w:val="19"/>
        </w:rPr>
        <w:tab/>
        <w:t xml:space="preserve">The relative migration of a hemoglobin variant is concentration dependent, with variants at a lower concentration (g/dL) migrating further from the application point. The migration difference between control vs sample can be mitigated by either preparing the hemoglobin control at a higher concentration (two parts control to </w:t>
      </w:r>
      <w:proofErr w:type="gramStart"/>
      <w:r w:rsidRPr="0077406D">
        <w:rPr>
          <w:rFonts w:ascii="Arial MT Std" w:hAnsi="Arial MT Std" w:cs="Arial MT Std"/>
          <w:color w:val="000000"/>
          <w:sz w:val="19"/>
          <w:szCs w:val="19"/>
        </w:rPr>
        <w:t>one part</w:t>
      </w:r>
      <w:proofErr w:type="gramEnd"/>
      <w:r w:rsidRPr="0077406D">
        <w:rPr>
          <w:rFonts w:ascii="Arial MT Std" w:hAnsi="Arial MT Std" w:cs="Arial MT Std"/>
          <w:color w:val="000000"/>
          <w:sz w:val="19"/>
          <w:szCs w:val="19"/>
        </w:rPr>
        <w:t xml:space="preserve"> hemolysate) or diluting the patient sample with hemolysate to normalize the concentration between the two. </w:t>
      </w:r>
    </w:p>
    <w:p w14:paraId="498215C5" w14:textId="0F616D0F" w:rsidR="0077406D" w:rsidRPr="0077406D" w:rsidRDefault="0077406D" w:rsidP="0077406D">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REFERENCE VALUES</w:t>
      </w:r>
    </w:p>
    <w:p w14:paraId="1E89F29F" w14:textId="3499514A"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At birth, the majority of hemoglobin in the erythrocytes of the normal individual is fetal hemoglobin, </w:t>
      </w:r>
      <w:proofErr w:type="spellStart"/>
      <w:r w:rsidRPr="0077406D">
        <w:rPr>
          <w:rFonts w:ascii="Arial MT Std" w:hAnsi="Arial MT Std" w:cs="Arial MT Std"/>
          <w:color w:val="000000"/>
          <w:sz w:val="19"/>
          <w:szCs w:val="19"/>
        </w:rPr>
        <w:t>HbF</w:t>
      </w:r>
      <w:proofErr w:type="spellEnd"/>
      <w:r w:rsidRPr="0077406D">
        <w:rPr>
          <w:rFonts w:ascii="Arial MT Std" w:hAnsi="Arial MT Std" w:cs="Arial MT Std"/>
          <w:color w:val="000000"/>
          <w:sz w:val="19"/>
          <w:szCs w:val="19"/>
        </w:rPr>
        <w:t xml:space="preserve">. Some of the major adult hemoglobin,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and a small amount of HbA</w:t>
      </w:r>
      <w:r w:rsidRPr="0077406D">
        <w:rPr>
          <w:rFonts w:ascii="Arial MT Std" w:hAnsi="Arial MT Std" w:cs="Arial MT Std"/>
          <w:color w:val="000000"/>
          <w:sz w:val="19"/>
          <w:szCs w:val="19"/>
          <w:vertAlign w:val="subscript"/>
        </w:rPr>
        <w:t>2</w:t>
      </w:r>
      <w:r w:rsidRPr="0077406D">
        <w:rPr>
          <w:rFonts w:ascii="Arial MT Std" w:hAnsi="Arial MT Std" w:cs="Arial MT Std"/>
          <w:color w:val="000000"/>
          <w:sz w:val="19"/>
          <w:szCs w:val="19"/>
        </w:rPr>
        <w:t xml:space="preserve"> are also present. At the end of the first year of life and through adulthood, the major hemoglobin present is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xml:space="preserve"> with up to 3.7% HbA</w:t>
      </w:r>
      <w:r w:rsidRPr="0077406D">
        <w:rPr>
          <w:rFonts w:ascii="Arial MT Std" w:hAnsi="Arial MT Std" w:cs="Arial MT Std"/>
          <w:color w:val="000000"/>
          <w:sz w:val="19"/>
          <w:szCs w:val="19"/>
          <w:vertAlign w:val="subscript"/>
        </w:rPr>
        <w:t>2</w:t>
      </w:r>
      <w:r w:rsidRPr="0077406D">
        <w:rPr>
          <w:rFonts w:ascii="Arial MT Std" w:hAnsi="Arial MT Std" w:cs="Arial MT Std"/>
          <w:color w:val="000000"/>
          <w:sz w:val="19"/>
          <w:szCs w:val="19"/>
        </w:rPr>
        <w:t xml:space="preserve"> and less than 2% HbF.</w:t>
      </w:r>
      <w:r w:rsidRPr="0077406D">
        <w:rPr>
          <w:rFonts w:ascii="Arial MT Std" w:hAnsi="Arial MT Std" w:cs="Arial MT Std"/>
          <w:color w:val="000000"/>
          <w:sz w:val="19"/>
          <w:szCs w:val="19"/>
          <w:vertAlign w:val="superscript"/>
        </w:rPr>
        <w:t>9</w:t>
      </w:r>
    </w:p>
    <w:p w14:paraId="2D2D7F40" w14:textId="77777777" w:rsidR="0077406D" w:rsidRPr="0077406D" w:rsidRDefault="0077406D" w:rsidP="0077406D">
      <w:pPr>
        <w:tabs>
          <w:tab w:val="left" w:pos="280"/>
          <w:tab w:val="left" w:pos="480"/>
          <w:tab w:val="left" w:pos="720"/>
        </w:tabs>
        <w:autoSpaceDE w:val="0"/>
        <w:autoSpaceDN w:val="0"/>
        <w:adjustRightInd w:val="0"/>
        <w:spacing w:before="47"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t>INTERPRETATION OF RESULTS</w:t>
      </w:r>
    </w:p>
    <w:p w14:paraId="45778AA6" w14:textId="77777777" w:rsidR="0077406D" w:rsidRPr="0077406D" w:rsidRDefault="0077406D" w:rsidP="0077406D">
      <w:pPr>
        <w:tabs>
          <w:tab w:val="left" w:pos="280"/>
          <w:tab w:val="left" w:pos="480"/>
          <w:tab w:val="left" w:pos="72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Most hemoglobin variants cause no discernible clinical symptoms, so are of interest primarily to research scientists. Variants are clinically important when their presence leads to sickling disorders, thalassemia syndromes, </w:t>
      </w:r>
      <w:proofErr w:type="spellStart"/>
      <w:r w:rsidRPr="0077406D">
        <w:rPr>
          <w:rFonts w:ascii="Arial MT Std" w:hAnsi="Arial MT Std" w:cs="Arial MT Std"/>
          <w:color w:val="000000"/>
          <w:sz w:val="19"/>
          <w:szCs w:val="19"/>
        </w:rPr>
        <w:t>life long</w:t>
      </w:r>
      <w:proofErr w:type="spellEnd"/>
      <w:r w:rsidRPr="0077406D">
        <w:rPr>
          <w:rFonts w:ascii="Arial MT Std" w:hAnsi="Arial MT Std" w:cs="Arial MT Std"/>
          <w:color w:val="000000"/>
          <w:sz w:val="19"/>
          <w:szCs w:val="19"/>
        </w:rPr>
        <w:t xml:space="preserve"> cyanosis, hemolytic anemias, erythrocytosis or if the heterozygote is of sufficient prevalence to warrant genetic counseling. The combinations of </w:t>
      </w:r>
      <w:proofErr w:type="spellStart"/>
      <w:r w:rsidRPr="0077406D">
        <w:rPr>
          <w:rFonts w:ascii="Arial MT Std" w:hAnsi="Arial MT Std" w:cs="Arial MT Std"/>
          <w:color w:val="000000"/>
          <w:sz w:val="19"/>
          <w:szCs w:val="19"/>
        </w:rPr>
        <w:t>HbSS</w:t>
      </w:r>
      <w:proofErr w:type="spellEnd"/>
      <w:r w:rsidRPr="0077406D">
        <w:rPr>
          <w:rFonts w:ascii="Arial MT Std" w:hAnsi="Arial MT Std" w:cs="Arial MT Std"/>
          <w:color w:val="000000"/>
          <w:sz w:val="19"/>
          <w:szCs w:val="19"/>
        </w:rPr>
        <w:t xml:space="preserve">, </w:t>
      </w:r>
      <w:proofErr w:type="spellStart"/>
      <w:r w:rsidRPr="0077406D">
        <w:rPr>
          <w:rFonts w:ascii="Arial MT Std" w:hAnsi="Arial MT Std" w:cs="Arial MT Std"/>
          <w:color w:val="000000"/>
          <w:sz w:val="19"/>
          <w:szCs w:val="19"/>
        </w:rPr>
        <w:t>HbSD</w:t>
      </w:r>
      <w:proofErr w:type="spellEnd"/>
      <w:r w:rsidRPr="0077406D">
        <w:rPr>
          <w:rFonts w:ascii="Arial MT Std" w:hAnsi="Arial MT Std" w:cs="Arial MT Std"/>
          <w:color w:val="000000"/>
          <w:sz w:val="19"/>
          <w:szCs w:val="19"/>
        </w:rPr>
        <w:t xml:space="preserve">-Los Angeles and </w:t>
      </w:r>
      <w:proofErr w:type="spellStart"/>
      <w:r w:rsidRPr="0077406D">
        <w:rPr>
          <w:rFonts w:ascii="Arial MT Std" w:hAnsi="Arial MT Std" w:cs="Arial MT Std"/>
          <w:color w:val="000000"/>
          <w:sz w:val="19"/>
          <w:szCs w:val="19"/>
        </w:rPr>
        <w:t>HbSO</w:t>
      </w:r>
      <w:proofErr w:type="spellEnd"/>
      <w:r w:rsidRPr="0077406D">
        <w:rPr>
          <w:rFonts w:ascii="Arial MT Std" w:hAnsi="Arial MT Std" w:cs="Arial MT Std"/>
          <w:color w:val="000000"/>
          <w:sz w:val="19"/>
          <w:szCs w:val="19"/>
        </w:rPr>
        <w:t>-Arab lead to serious sickling disorders.</w:t>
      </w:r>
      <w:r w:rsidRPr="0077406D">
        <w:rPr>
          <w:rFonts w:ascii="Arial MT Std" w:hAnsi="Arial MT Std" w:cs="Arial MT Std"/>
          <w:color w:val="000000"/>
          <w:sz w:val="19"/>
          <w:szCs w:val="19"/>
          <w:vertAlign w:val="superscript"/>
        </w:rPr>
        <w:t>2</w:t>
      </w:r>
      <w:r w:rsidRPr="0077406D">
        <w:rPr>
          <w:rFonts w:ascii="Arial MT Std" w:hAnsi="Arial MT Std" w:cs="Arial MT Std"/>
          <w:color w:val="000000"/>
          <w:sz w:val="19"/>
          <w:szCs w:val="19"/>
        </w:rPr>
        <w:t xml:space="preserve"> Several variants including </w:t>
      </w:r>
      <w:proofErr w:type="spellStart"/>
      <w:r w:rsidRPr="0077406D">
        <w:rPr>
          <w:rFonts w:ascii="Arial MT Std" w:hAnsi="Arial MT Std" w:cs="Arial MT Std"/>
          <w:color w:val="000000"/>
          <w:sz w:val="19"/>
          <w:szCs w:val="19"/>
        </w:rPr>
        <w:t>HbH</w:t>
      </w:r>
      <w:proofErr w:type="spellEnd"/>
      <w:r w:rsidRPr="0077406D">
        <w:rPr>
          <w:rFonts w:ascii="Arial MT Std" w:hAnsi="Arial MT Std" w:cs="Arial MT Std"/>
          <w:color w:val="000000"/>
          <w:sz w:val="19"/>
          <w:szCs w:val="19"/>
        </w:rPr>
        <w:t>, E-Fort Worth and Lepore cause a thalassemic blood picture.</w:t>
      </w:r>
      <w:r w:rsidRPr="0077406D">
        <w:rPr>
          <w:rFonts w:ascii="Arial MT Std" w:hAnsi="Arial MT Std" w:cs="Arial MT Std"/>
          <w:color w:val="000000"/>
          <w:sz w:val="19"/>
          <w:szCs w:val="19"/>
          <w:vertAlign w:val="superscript"/>
        </w:rPr>
        <w:t>2</w:t>
      </w:r>
      <w:r w:rsidRPr="0077406D">
        <w:rPr>
          <w:rFonts w:ascii="Arial MT Std" w:hAnsi="Arial MT Std" w:cs="Arial MT Std"/>
          <w:color w:val="000000"/>
          <w:sz w:val="19"/>
          <w:szCs w:val="19"/>
        </w:rPr>
        <w:t xml:space="preserve"> </w:t>
      </w:r>
    </w:p>
    <w:p w14:paraId="160ED853" w14:textId="77777777" w:rsidR="0077406D" w:rsidRPr="0077406D" w:rsidRDefault="0077406D" w:rsidP="0077406D">
      <w:pPr>
        <w:tabs>
          <w:tab w:val="left" w:pos="280"/>
          <w:tab w:val="left" w:pos="480"/>
          <w:tab w:val="left" w:pos="720"/>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The two variant </w:t>
      </w:r>
      <w:proofErr w:type="spellStart"/>
      <w:r w:rsidRPr="0077406D">
        <w:rPr>
          <w:rFonts w:ascii="Arial MT Std" w:hAnsi="Arial MT Std" w:cs="Arial MT Std"/>
          <w:color w:val="000000"/>
          <w:sz w:val="19"/>
          <w:szCs w:val="19"/>
        </w:rPr>
        <w:t>hemoglobins</w:t>
      </w:r>
      <w:proofErr w:type="spellEnd"/>
      <w:r w:rsidRPr="0077406D">
        <w:rPr>
          <w:rFonts w:ascii="Arial MT Std" w:hAnsi="Arial MT Std" w:cs="Arial MT Std"/>
          <w:color w:val="000000"/>
          <w:sz w:val="19"/>
          <w:szCs w:val="19"/>
        </w:rPr>
        <w:t xml:space="preserve"> of greatest importance in the U.S., in terms of frequency and pathology, are </w:t>
      </w:r>
      <w:proofErr w:type="spellStart"/>
      <w:r w:rsidRPr="0077406D">
        <w:rPr>
          <w:rFonts w:ascii="Arial MT Std" w:hAnsi="Arial MT Std" w:cs="Arial MT Std"/>
          <w:color w:val="000000"/>
          <w:sz w:val="19"/>
          <w:szCs w:val="19"/>
        </w:rPr>
        <w:t>HbS</w:t>
      </w:r>
      <w:proofErr w:type="spellEnd"/>
      <w:r w:rsidRPr="0077406D">
        <w:rPr>
          <w:rFonts w:ascii="Arial MT Std" w:hAnsi="Arial MT Std" w:cs="Arial MT Std"/>
          <w:color w:val="000000"/>
          <w:sz w:val="19"/>
          <w:szCs w:val="19"/>
        </w:rPr>
        <w:t xml:space="preserve"> and HbC.</w:t>
      </w:r>
      <w:r w:rsidRPr="0077406D">
        <w:rPr>
          <w:rFonts w:ascii="Arial MT Std" w:hAnsi="Arial MT Std" w:cs="Arial MT Std"/>
          <w:color w:val="000000"/>
          <w:sz w:val="19"/>
          <w:szCs w:val="19"/>
          <w:vertAlign w:val="superscript"/>
        </w:rPr>
        <w:t>2</w:t>
      </w:r>
      <w:r w:rsidRPr="0077406D">
        <w:rPr>
          <w:rFonts w:ascii="Arial MT Std" w:hAnsi="Arial MT Std" w:cs="Arial MT Std"/>
          <w:color w:val="000000"/>
          <w:sz w:val="19"/>
          <w:szCs w:val="19"/>
        </w:rPr>
        <w:t xml:space="preserve"> Sickle cell anemia (</w:t>
      </w:r>
      <w:proofErr w:type="spellStart"/>
      <w:r w:rsidRPr="0077406D">
        <w:rPr>
          <w:rFonts w:ascii="Arial MT Std" w:hAnsi="Arial MT Std" w:cs="Arial MT Std"/>
          <w:color w:val="000000"/>
          <w:sz w:val="19"/>
          <w:szCs w:val="19"/>
        </w:rPr>
        <w:t>HbSS</w:t>
      </w:r>
      <w:proofErr w:type="spellEnd"/>
      <w:r w:rsidRPr="0077406D">
        <w:rPr>
          <w:rFonts w:ascii="Arial MT Std" w:hAnsi="Arial MT Std" w:cs="Arial MT Std"/>
          <w:color w:val="000000"/>
          <w:sz w:val="19"/>
          <w:szCs w:val="19"/>
        </w:rPr>
        <w:t xml:space="preserve">) is a lethal disease that first manifests itself at about 5 to 6 months of age. The clinical course presents agonizing episodes of pain and temperature elevations with anemia, listlessness, lethargy and infarct in virtually all organs of the body. The individual with homozygous </w:t>
      </w:r>
      <w:proofErr w:type="spellStart"/>
      <w:r w:rsidRPr="0077406D">
        <w:rPr>
          <w:rFonts w:ascii="Arial MT Std" w:hAnsi="Arial MT Std" w:cs="Arial MT Std"/>
          <w:color w:val="000000"/>
          <w:sz w:val="19"/>
          <w:szCs w:val="19"/>
        </w:rPr>
        <w:t>HbCC</w:t>
      </w:r>
      <w:proofErr w:type="spellEnd"/>
      <w:r w:rsidRPr="0077406D">
        <w:rPr>
          <w:rFonts w:ascii="Arial MT Std" w:hAnsi="Arial MT Std" w:cs="Arial MT Std"/>
          <w:color w:val="000000"/>
          <w:sz w:val="19"/>
          <w:szCs w:val="19"/>
        </w:rPr>
        <w:t xml:space="preserve"> suffers mild hemolytic anemia which is attributed to the precipitation or crystallization of </w:t>
      </w:r>
      <w:proofErr w:type="spellStart"/>
      <w:r w:rsidRPr="0077406D">
        <w:rPr>
          <w:rFonts w:ascii="Arial MT Std" w:hAnsi="Arial MT Std" w:cs="Arial MT Std"/>
          <w:color w:val="000000"/>
          <w:sz w:val="19"/>
          <w:szCs w:val="19"/>
        </w:rPr>
        <w:t>HbC</w:t>
      </w:r>
      <w:proofErr w:type="spellEnd"/>
      <w:r w:rsidRPr="0077406D">
        <w:rPr>
          <w:rFonts w:ascii="Arial MT Std" w:hAnsi="Arial MT Std" w:cs="Arial MT Std"/>
          <w:color w:val="000000"/>
          <w:sz w:val="19"/>
          <w:szCs w:val="19"/>
        </w:rPr>
        <w:t xml:space="preserve"> within the erythrocytes. Cases of </w:t>
      </w:r>
      <w:proofErr w:type="spellStart"/>
      <w:r w:rsidRPr="0077406D">
        <w:rPr>
          <w:rFonts w:ascii="Arial MT Std" w:hAnsi="Arial MT Std" w:cs="Arial MT Std"/>
          <w:color w:val="000000"/>
          <w:sz w:val="19"/>
          <w:szCs w:val="19"/>
        </w:rPr>
        <w:t>HbSC</w:t>
      </w:r>
      <w:proofErr w:type="spellEnd"/>
      <w:r w:rsidRPr="0077406D">
        <w:rPr>
          <w:rFonts w:ascii="Arial MT Std" w:hAnsi="Arial MT Std" w:cs="Arial MT Std"/>
          <w:color w:val="000000"/>
          <w:sz w:val="19"/>
          <w:szCs w:val="19"/>
        </w:rPr>
        <w:t xml:space="preserve"> disease are characterized by hemolytic anemia that is milder than sickle-cell anemia.</w:t>
      </w:r>
    </w:p>
    <w:p w14:paraId="528DAFB5"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The </w:t>
      </w:r>
      <w:proofErr w:type="spellStart"/>
      <w:r w:rsidRPr="0077406D">
        <w:rPr>
          <w:rFonts w:ascii="Arial MT Std" w:hAnsi="Arial MT Std" w:cs="Arial MT Std"/>
          <w:color w:val="000000"/>
          <w:sz w:val="19"/>
          <w:szCs w:val="19"/>
        </w:rPr>
        <w:t>thalassemias</w:t>
      </w:r>
      <w:proofErr w:type="spellEnd"/>
      <w:r w:rsidRPr="0077406D">
        <w:rPr>
          <w:rFonts w:ascii="Arial MT Std" w:hAnsi="Arial MT Std" w:cs="Arial MT Std"/>
          <w:color w:val="000000"/>
          <w:sz w:val="19"/>
          <w:szCs w:val="19"/>
        </w:rPr>
        <w:t xml:space="preserve"> are a group of hemoglobin disorders characterized by hypochromia and microcytosis due to the diminished synthesis of one globin chain (the </w:t>
      </w:r>
      <w:r w:rsidRPr="0077406D">
        <w:rPr>
          <w:rFonts w:ascii="Symbol" w:hAnsi="Symbol" w:cs="Symbol" w:hint="eastAsia"/>
          <w:color w:val="000000"/>
          <w:sz w:val="19"/>
          <w:szCs w:val="19"/>
        </w:rPr>
        <w:t>a</w:t>
      </w:r>
      <w:r w:rsidRPr="0077406D">
        <w:rPr>
          <w:rFonts w:ascii="Arial MT Std" w:hAnsi="Arial MT Std" w:cs="Arial MT Std"/>
          <w:color w:val="000000"/>
          <w:sz w:val="19"/>
          <w:szCs w:val="19"/>
        </w:rPr>
        <w:t xml:space="preserve"> or </w:t>
      </w:r>
      <w:r w:rsidRPr="0077406D">
        <w:rPr>
          <w:rFonts w:ascii="Symbol" w:hAnsi="Symbol" w:cs="Symbol" w:hint="eastAsia"/>
          <w:color w:val="000000"/>
          <w:sz w:val="19"/>
          <w:szCs w:val="19"/>
        </w:rPr>
        <w:t>b</w:t>
      </w:r>
      <w:r w:rsidRPr="0077406D">
        <w:rPr>
          <w:rFonts w:ascii="Arial MT Std" w:hAnsi="Arial MT Std" w:cs="Arial MT Std"/>
          <w:color w:val="000000"/>
          <w:sz w:val="19"/>
          <w:szCs w:val="19"/>
        </w:rPr>
        <w:t>) while synthesis of the other chain proceeds normally.</w:t>
      </w:r>
      <w:r w:rsidRPr="0077406D">
        <w:rPr>
          <w:rFonts w:ascii="Arial MT Std" w:hAnsi="Arial MT Std" w:cs="Arial MT Std"/>
          <w:color w:val="000000"/>
          <w:sz w:val="19"/>
          <w:szCs w:val="19"/>
          <w:vertAlign w:val="superscript"/>
        </w:rPr>
        <w:t>10,11</w:t>
      </w:r>
      <w:r w:rsidRPr="0077406D">
        <w:rPr>
          <w:rFonts w:ascii="Arial MT Std" w:hAnsi="Arial MT Std" w:cs="Arial MT Std"/>
          <w:color w:val="000000"/>
          <w:sz w:val="19"/>
          <w:szCs w:val="19"/>
        </w:rPr>
        <w:t xml:space="preserve"> This unbalanced synthesis results in unstable globin chains. These precipitate within the red cell, forming inclusion bodies that shorten the life span of the cell. In </w:t>
      </w:r>
      <w:r w:rsidRPr="0077406D">
        <w:rPr>
          <w:rFonts w:ascii="Symbol" w:hAnsi="Symbol" w:cs="Symbol" w:hint="eastAsia"/>
          <w:color w:val="000000"/>
          <w:sz w:val="19"/>
          <w:szCs w:val="19"/>
        </w:rPr>
        <w:t>a</w:t>
      </w:r>
      <w:r w:rsidRPr="0077406D">
        <w:rPr>
          <w:rFonts w:ascii="Arial MT Std" w:hAnsi="Arial MT Std" w:cs="Arial MT Std"/>
          <w:color w:val="000000"/>
          <w:sz w:val="19"/>
          <w:szCs w:val="19"/>
        </w:rPr>
        <w:t>-</w:t>
      </w:r>
      <w:proofErr w:type="spellStart"/>
      <w:r w:rsidRPr="0077406D">
        <w:rPr>
          <w:rFonts w:ascii="Arial MT Std" w:hAnsi="Arial MT Std" w:cs="Arial MT Std"/>
          <w:color w:val="000000"/>
          <w:sz w:val="19"/>
          <w:szCs w:val="19"/>
        </w:rPr>
        <w:t>thalassemias</w:t>
      </w:r>
      <w:proofErr w:type="spellEnd"/>
      <w:r w:rsidRPr="0077406D">
        <w:rPr>
          <w:rFonts w:ascii="Arial MT Std" w:hAnsi="Arial MT Std" w:cs="Arial MT Std"/>
          <w:color w:val="000000"/>
          <w:sz w:val="19"/>
          <w:szCs w:val="19"/>
        </w:rPr>
        <w:t xml:space="preserve"> the </w:t>
      </w:r>
      <w:r w:rsidRPr="0077406D">
        <w:rPr>
          <w:rFonts w:ascii="Symbol" w:hAnsi="Symbol" w:cs="Symbol" w:hint="eastAsia"/>
          <w:color w:val="000000"/>
          <w:sz w:val="19"/>
          <w:szCs w:val="19"/>
        </w:rPr>
        <w:t>a</w:t>
      </w:r>
      <w:r w:rsidRPr="0077406D">
        <w:rPr>
          <w:rFonts w:ascii="Arial MT Std" w:hAnsi="Arial MT Std" w:cs="Arial MT Std"/>
          <w:color w:val="000000"/>
          <w:sz w:val="19"/>
          <w:szCs w:val="19"/>
        </w:rPr>
        <w:t xml:space="preserve">-chains are diminished or absent, and in the </w:t>
      </w:r>
      <w:r w:rsidRPr="0077406D">
        <w:rPr>
          <w:rFonts w:ascii="Symbol" w:hAnsi="Symbol" w:cs="Symbol" w:hint="eastAsia"/>
          <w:color w:val="000000"/>
          <w:sz w:val="19"/>
          <w:szCs w:val="19"/>
        </w:rPr>
        <w:t>b</w:t>
      </w:r>
      <w:r w:rsidRPr="0077406D">
        <w:rPr>
          <w:rFonts w:ascii="Arial MT Std" w:hAnsi="Arial MT Std" w:cs="Arial MT Std"/>
          <w:color w:val="000000"/>
          <w:sz w:val="19"/>
          <w:szCs w:val="19"/>
        </w:rPr>
        <w:t xml:space="preserve">-thalassemia the </w:t>
      </w:r>
      <w:r w:rsidRPr="0077406D">
        <w:rPr>
          <w:rFonts w:ascii="Symbol" w:hAnsi="Symbol" w:cs="Symbol" w:hint="eastAsia"/>
          <w:color w:val="000000"/>
          <w:sz w:val="19"/>
          <w:szCs w:val="19"/>
        </w:rPr>
        <w:t>b</w:t>
      </w:r>
      <w:r w:rsidRPr="0077406D">
        <w:rPr>
          <w:rFonts w:ascii="Arial MT Std" w:hAnsi="Arial MT Std" w:cs="Arial MT Std"/>
          <w:color w:val="000000"/>
          <w:sz w:val="19"/>
          <w:szCs w:val="19"/>
        </w:rPr>
        <w:t xml:space="preserve">-chains are affected. Another quantitative disorder of hemoglobin synthesis, hereditary persistent fetal hemoglobin (HPFH), represents a genetic failure of the mechanisms that turn off gamma chain synthesis at about four months after birth which results in a continued high percentage of </w:t>
      </w:r>
      <w:proofErr w:type="spellStart"/>
      <w:r w:rsidRPr="0077406D">
        <w:rPr>
          <w:rFonts w:ascii="Arial MT Std" w:hAnsi="Arial MT Std" w:cs="Arial MT Std"/>
          <w:color w:val="000000"/>
          <w:sz w:val="19"/>
          <w:szCs w:val="19"/>
        </w:rPr>
        <w:t>HbF</w:t>
      </w:r>
      <w:proofErr w:type="spellEnd"/>
      <w:r w:rsidRPr="0077406D">
        <w:rPr>
          <w:rFonts w:ascii="Arial MT Std" w:hAnsi="Arial MT Std" w:cs="Arial MT Std"/>
          <w:color w:val="000000"/>
          <w:sz w:val="19"/>
          <w:szCs w:val="19"/>
        </w:rPr>
        <w:t xml:space="preserve">. It is a more benign condition than the true </w:t>
      </w:r>
      <w:proofErr w:type="spellStart"/>
      <w:r w:rsidRPr="0077406D">
        <w:rPr>
          <w:rFonts w:ascii="Arial MT Std" w:hAnsi="Arial MT Std" w:cs="Arial MT Std"/>
          <w:color w:val="000000"/>
          <w:sz w:val="19"/>
          <w:szCs w:val="19"/>
        </w:rPr>
        <w:t>thalassemias</w:t>
      </w:r>
      <w:proofErr w:type="spellEnd"/>
      <w:r w:rsidRPr="0077406D">
        <w:rPr>
          <w:rFonts w:ascii="Arial MT Std" w:hAnsi="Arial MT Std" w:cs="Arial MT Std"/>
          <w:color w:val="000000"/>
          <w:sz w:val="19"/>
          <w:szCs w:val="19"/>
        </w:rPr>
        <w:t xml:space="preserve"> and persons homozygous for HPFH have normal development, are asymptomatic and have no anemia.</w:t>
      </w:r>
      <w:r w:rsidRPr="0077406D">
        <w:rPr>
          <w:rFonts w:ascii="Arial MT Std" w:hAnsi="Arial MT Std" w:cs="Arial MT Std"/>
          <w:color w:val="000000"/>
          <w:sz w:val="19"/>
          <w:szCs w:val="19"/>
          <w:vertAlign w:val="superscript"/>
        </w:rPr>
        <w:t>11</w:t>
      </w:r>
      <w:r w:rsidRPr="0077406D">
        <w:rPr>
          <w:rFonts w:ascii="Arial MT Std" w:hAnsi="Arial MT Std" w:cs="Arial MT Std"/>
          <w:color w:val="000000"/>
          <w:sz w:val="19"/>
          <w:szCs w:val="19"/>
        </w:rPr>
        <w:t xml:space="preserve"> </w:t>
      </w:r>
    </w:p>
    <w:p w14:paraId="209A9E81" w14:textId="77777777" w:rsidR="0077406D" w:rsidRPr="0077406D" w:rsidRDefault="0077406D" w:rsidP="0077406D">
      <w:pPr>
        <w:autoSpaceDE w:val="0"/>
        <w:autoSpaceDN w:val="0"/>
        <w:adjustRightInd w:val="0"/>
        <w:spacing w:before="72"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The most common hemoglobin abnormalities: </w:t>
      </w:r>
    </w:p>
    <w:p w14:paraId="5A1E0416" w14:textId="3D07E79A"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Sickle Cell Trait </w:t>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br/>
        <w:t xml:space="preserve">This is a heterozygous state showing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xml:space="preserve"> and </w:t>
      </w:r>
      <w:proofErr w:type="spellStart"/>
      <w:r w:rsidRPr="0077406D">
        <w:rPr>
          <w:rFonts w:ascii="Arial MT Std" w:hAnsi="Arial MT Std" w:cs="Arial MT Std"/>
          <w:color w:val="000000"/>
          <w:sz w:val="19"/>
          <w:szCs w:val="19"/>
        </w:rPr>
        <w:t>HbS</w:t>
      </w:r>
      <w:proofErr w:type="spellEnd"/>
      <w:r w:rsidRPr="0077406D">
        <w:rPr>
          <w:rFonts w:ascii="Arial MT Std" w:hAnsi="Arial MT Std" w:cs="Arial MT Std"/>
          <w:color w:val="000000"/>
          <w:sz w:val="19"/>
          <w:szCs w:val="19"/>
        </w:rPr>
        <w:t xml:space="preserve"> and a normal amount of HbA</w:t>
      </w:r>
      <w:r w:rsidRPr="0077406D">
        <w:rPr>
          <w:rFonts w:ascii="Arial MT Std" w:hAnsi="Arial MT Std" w:cs="Arial MT Std"/>
          <w:color w:val="000000"/>
          <w:sz w:val="19"/>
          <w:szCs w:val="19"/>
          <w:vertAlign w:val="subscript"/>
        </w:rPr>
        <w:t>2</w:t>
      </w:r>
      <w:r w:rsidRPr="0077406D">
        <w:rPr>
          <w:rFonts w:ascii="Arial MT Std" w:hAnsi="Arial MT Std" w:cs="Arial MT Std"/>
          <w:color w:val="000000"/>
          <w:sz w:val="19"/>
          <w:szCs w:val="19"/>
        </w:rPr>
        <w:t xml:space="preserve"> under alkaline condition. Results under acid conditions show </w:t>
      </w:r>
      <w:proofErr w:type="spellStart"/>
      <w:r w:rsidRPr="0077406D">
        <w:rPr>
          <w:rFonts w:ascii="Arial MT Std" w:hAnsi="Arial MT Std" w:cs="Arial MT Std"/>
          <w:color w:val="000000"/>
          <w:sz w:val="19"/>
          <w:szCs w:val="19"/>
        </w:rPr>
        <w:t>hemoglobins</w:t>
      </w:r>
      <w:proofErr w:type="spellEnd"/>
      <w:r w:rsidRPr="0077406D">
        <w:rPr>
          <w:rFonts w:ascii="Arial MT Std" w:hAnsi="Arial MT Std" w:cs="Arial MT Std"/>
          <w:color w:val="000000"/>
          <w:sz w:val="19"/>
          <w:szCs w:val="19"/>
        </w:rPr>
        <w:t xml:space="preserve"> in the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xml:space="preserve"> and </w:t>
      </w:r>
      <w:proofErr w:type="spellStart"/>
      <w:r w:rsidRPr="0077406D">
        <w:rPr>
          <w:rFonts w:ascii="Arial MT Std" w:hAnsi="Arial MT Std" w:cs="Arial MT Std"/>
          <w:color w:val="000000"/>
          <w:sz w:val="19"/>
          <w:szCs w:val="19"/>
        </w:rPr>
        <w:t>HbS</w:t>
      </w:r>
      <w:proofErr w:type="spellEnd"/>
      <w:r w:rsidRPr="0077406D">
        <w:rPr>
          <w:rFonts w:ascii="Arial MT Std" w:hAnsi="Arial MT Std" w:cs="Arial MT Std"/>
          <w:color w:val="000000"/>
          <w:sz w:val="19"/>
          <w:szCs w:val="19"/>
        </w:rPr>
        <w:t xml:space="preserve"> migratory positions (zones). </w:t>
      </w:r>
    </w:p>
    <w:p w14:paraId="3C3B4FFB" w14:textId="734CE49F"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Sickle Cell Anemia </w:t>
      </w:r>
      <w:r w:rsidRPr="0077406D">
        <w:rPr>
          <w:rFonts w:ascii="Arial MT Std" w:hAnsi="Arial MT Std" w:cs="Arial MT Std"/>
          <w:color w:val="000000"/>
          <w:spacing w:val="-4"/>
          <w:sz w:val="19"/>
          <w:szCs w:val="19"/>
        </w:rPr>
        <w:tab/>
      </w:r>
      <w:r w:rsidRPr="0077406D">
        <w:rPr>
          <w:rFonts w:ascii="Arial MT Std" w:hAnsi="Arial MT Std" w:cs="Arial MT Std"/>
          <w:color w:val="000000"/>
          <w:spacing w:val="-4"/>
          <w:sz w:val="19"/>
          <w:szCs w:val="19"/>
        </w:rPr>
        <w:br/>
        <w:t xml:space="preserve">This is a homozygous state showing almost exclusively </w:t>
      </w:r>
      <w:proofErr w:type="spellStart"/>
      <w:r w:rsidRPr="0077406D">
        <w:rPr>
          <w:rFonts w:ascii="Arial MT Std" w:hAnsi="Arial MT Std" w:cs="Arial MT Std"/>
          <w:color w:val="000000"/>
          <w:spacing w:val="-4"/>
          <w:sz w:val="19"/>
          <w:szCs w:val="19"/>
        </w:rPr>
        <w:t>HbS</w:t>
      </w:r>
      <w:proofErr w:type="spellEnd"/>
      <w:r w:rsidRPr="0077406D">
        <w:rPr>
          <w:rFonts w:ascii="Arial MT Std" w:hAnsi="Arial MT Std" w:cs="Arial MT Std"/>
          <w:color w:val="000000"/>
          <w:spacing w:val="-4"/>
          <w:sz w:val="19"/>
          <w:szCs w:val="19"/>
        </w:rPr>
        <w:t xml:space="preserve">, although a small amount of </w:t>
      </w:r>
      <w:proofErr w:type="spellStart"/>
      <w:r w:rsidRPr="0077406D">
        <w:rPr>
          <w:rFonts w:ascii="Arial MT Std" w:hAnsi="Arial MT Std" w:cs="Arial MT Std"/>
          <w:color w:val="000000"/>
          <w:spacing w:val="-4"/>
          <w:sz w:val="19"/>
          <w:szCs w:val="19"/>
        </w:rPr>
        <w:t>HbF</w:t>
      </w:r>
      <w:proofErr w:type="spellEnd"/>
      <w:r w:rsidRPr="0077406D">
        <w:rPr>
          <w:rFonts w:ascii="Arial MT Std" w:hAnsi="Arial MT Std" w:cs="Arial MT Std"/>
          <w:color w:val="000000"/>
          <w:spacing w:val="-4"/>
          <w:sz w:val="19"/>
          <w:szCs w:val="19"/>
        </w:rPr>
        <w:t xml:space="preserve"> may also be present.</w:t>
      </w:r>
      <w:r w:rsidRPr="0077406D">
        <w:rPr>
          <w:rFonts w:ascii="Arial MT Std" w:hAnsi="Arial MT Std" w:cs="Arial MT Std"/>
          <w:color w:val="000000"/>
          <w:sz w:val="19"/>
          <w:szCs w:val="19"/>
        </w:rPr>
        <w:t xml:space="preserve"> </w:t>
      </w:r>
    </w:p>
    <w:p w14:paraId="007DA802" w14:textId="67EB9441"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Sickle-C Disease </w:t>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br/>
        <w:t xml:space="preserve">This is a heterozygous state demonstrating </w:t>
      </w:r>
      <w:proofErr w:type="spellStart"/>
      <w:r w:rsidRPr="0077406D">
        <w:rPr>
          <w:rFonts w:ascii="Arial MT Std" w:hAnsi="Arial MT Std" w:cs="Arial MT Std"/>
          <w:color w:val="000000"/>
          <w:sz w:val="19"/>
          <w:szCs w:val="19"/>
        </w:rPr>
        <w:t>HbS</w:t>
      </w:r>
      <w:proofErr w:type="spellEnd"/>
      <w:r w:rsidRPr="0077406D">
        <w:rPr>
          <w:rFonts w:ascii="Arial MT Std" w:hAnsi="Arial MT Std" w:cs="Arial MT Std"/>
          <w:color w:val="000000"/>
          <w:sz w:val="19"/>
          <w:szCs w:val="19"/>
        </w:rPr>
        <w:t xml:space="preserve"> and </w:t>
      </w:r>
      <w:proofErr w:type="spellStart"/>
      <w:r w:rsidRPr="0077406D">
        <w:rPr>
          <w:rFonts w:ascii="Arial MT Std" w:hAnsi="Arial MT Std" w:cs="Arial MT Std"/>
          <w:color w:val="000000"/>
          <w:sz w:val="19"/>
          <w:szCs w:val="19"/>
        </w:rPr>
        <w:t>HbC</w:t>
      </w:r>
      <w:proofErr w:type="spellEnd"/>
      <w:r w:rsidRPr="0077406D">
        <w:rPr>
          <w:rFonts w:ascii="Arial MT Std" w:hAnsi="Arial MT Std" w:cs="Arial MT Std"/>
          <w:color w:val="000000"/>
          <w:sz w:val="19"/>
          <w:szCs w:val="19"/>
        </w:rPr>
        <w:t xml:space="preserve">. </w:t>
      </w:r>
    </w:p>
    <w:p w14:paraId="6FA30E7E" w14:textId="77777777"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Sickle Cell-Thalassemia Disease </w:t>
      </w:r>
    </w:p>
    <w:p w14:paraId="5D6FF9B3" w14:textId="77777777"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This condition shows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xml:space="preserve">, </w:t>
      </w:r>
      <w:proofErr w:type="spellStart"/>
      <w:r w:rsidRPr="0077406D">
        <w:rPr>
          <w:rFonts w:ascii="Arial MT Std" w:hAnsi="Arial MT Std" w:cs="Arial MT Std"/>
          <w:color w:val="000000"/>
          <w:sz w:val="19"/>
          <w:szCs w:val="19"/>
        </w:rPr>
        <w:t>HbF</w:t>
      </w:r>
      <w:proofErr w:type="spellEnd"/>
      <w:r w:rsidRPr="0077406D">
        <w:rPr>
          <w:rFonts w:ascii="Arial MT Std" w:hAnsi="Arial MT Std" w:cs="Arial MT Std"/>
          <w:color w:val="000000"/>
          <w:sz w:val="19"/>
          <w:szCs w:val="19"/>
        </w:rPr>
        <w:t xml:space="preserve">, </w:t>
      </w:r>
      <w:proofErr w:type="spellStart"/>
      <w:r w:rsidRPr="0077406D">
        <w:rPr>
          <w:rFonts w:ascii="Arial MT Std" w:hAnsi="Arial MT Std" w:cs="Arial MT Std"/>
          <w:color w:val="000000"/>
          <w:sz w:val="19"/>
          <w:szCs w:val="19"/>
        </w:rPr>
        <w:t>HbS</w:t>
      </w:r>
      <w:proofErr w:type="spellEnd"/>
      <w:r w:rsidRPr="0077406D">
        <w:rPr>
          <w:rFonts w:ascii="Arial MT Std" w:hAnsi="Arial MT Std" w:cs="Arial MT Std"/>
          <w:color w:val="000000"/>
          <w:sz w:val="19"/>
          <w:szCs w:val="19"/>
        </w:rPr>
        <w:t xml:space="preserve"> and HbA</w:t>
      </w:r>
      <w:r w:rsidRPr="0077406D">
        <w:rPr>
          <w:rFonts w:ascii="Arial MT Std" w:hAnsi="Arial MT Std" w:cs="Arial MT Std"/>
          <w:color w:val="000000"/>
          <w:sz w:val="19"/>
          <w:szCs w:val="19"/>
          <w:vertAlign w:val="subscript"/>
        </w:rPr>
        <w:t>2</w:t>
      </w:r>
      <w:r w:rsidRPr="0077406D">
        <w:rPr>
          <w:rFonts w:ascii="Arial MT Std" w:hAnsi="Arial MT Std" w:cs="Arial MT Std"/>
          <w:color w:val="000000"/>
          <w:sz w:val="19"/>
          <w:szCs w:val="19"/>
        </w:rPr>
        <w:t xml:space="preserve">. </w:t>
      </w:r>
    </w:p>
    <w:p w14:paraId="2C6601BC" w14:textId="53A3826A"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In Sickle Cell </w:t>
      </w:r>
      <w:r w:rsidRPr="0077406D">
        <w:rPr>
          <w:rFonts w:ascii="Symbol" w:hAnsi="Symbol" w:cs="Symbol" w:hint="eastAsia"/>
          <w:color w:val="000000"/>
          <w:sz w:val="19"/>
          <w:szCs w:val="19"/>
        </w:rPr>
        <w:t>b</w:t>
      </w:r>
      <w:r w:rsidRPr="0077406D">
        <w:rPr>
          <w:rFonts w:ascii="Arial MT Std" w:hAnsi="Arial MT Std" w:cs="Arial MT Std"/>
          <w:color w:val="000000"/>
          <w:sz w:val="19"/>
          <w:szCs w:val="19"/>
        </w:rPr>
        <w:t xml:space="preserve">°-Thalassemia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xml:space="preserve"> is absent.</w:t>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br/>
        <w:t xml:space="preserve">In Sickle Cell </w:t>
      </w:r>
      <w:r w:rsidRPr="0077406D">
        <w:rPr>
          <w:rFonts w:ascii="Symbol" w:hAnsi="Symbol" w:cs="Symbol" w:hint="eastAsia"/>
          <w:color w:val="000000"/>
          <w:sz w:val="19"/>
          <w:szCs w:val="19"/>
        </w:rPr>
        <w:t>b</w:t>
      </w:r>
      <w:r w:rsidRPr="0077406D">
        <w:rPr>
          <w:rFonts w:ascii="Arial MT Std" w:hAnsi="Arial MT Std" w:cs="Arial MT Std"/>
          <w:color w:val="000000"/>
          <w:position w:val="6"/>
          <w:sz w:val="19"/>
          <w:szCs w:val="19"/>
        </w:rPr>
        <w:t>+</w:t>
      </w:r>
      <w:r w:rsidRPr="0077406D">
        <w:rPr>
          <w:rFonts w:ascii="Arial MT Std" w:hAnsi="Arial MT Std" w:cs="Arial MT Std"/>
          <w:color w:val="000000"/>
          <w:sz w:val="19"/>
          <w:szCs w:val="19"/>
        </w:rPr>
        <w:t xml:space="preserve">-Thalassemia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xml:space="preserve"> is present in reduced quantities.</w:t>
      </w:r>
    </w:p>
    <w:p w14:paraId="605D4B4F" w14:textId="77777777"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Thalassemia-C Disease </w:t>
      </w:r>
    </w:p>
    <w:p w14:paraId="761EF082" w14:textId="77777777"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ab/>
        <w:t xml:space="preserve">This condition shows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xml:space="preserve">, </w:t>
      </w:r>
      <w:proofErr w:type="spellStart"/>
      <w:r w:rsidRPr="0077406D">
        <w:rPr>
          <w:rFonts w:ascii="Arial MT Std" w:hAnsi="Arial MT Std" w:cs="Arial MT Std"/>
          <w:color w:val="000000"/>
          <w:sz w:val="19"/>
          <w:szCs w:val="19"/>
        </w:rPr>
        <w:t>HbF</w:t>
      </w:r>
      <w:proofErr w:type="spellEnd"/>
      <w:r w:rsidRPr="0077406D">
        <w:rPr>
          <w:rFonts w:ascii="Arial MT Std" w:hAnsi="Arial MT Std" w:cs="Arial MT Std"/>
          <w:color w:val="000000"/>
          <w:sz w:val="19"/>
          <w:szCs w:val="19"/>
        </w:rPr>
        <w:t xml:space="preserve"> and </w:t>
      </w:r>
      <w:proofErr w:type="spellStart"/>
      <w:r w:rsidRPr="0077406D">
        <w:rPr>
          <w:rFonts w:ascii="Arial MT Std" w:hAnsi="Arial MT Std" w:cs="Arial MT Std"/>
          <w:color w:val="000000"/>
          <w:sz w:val="19"/>
          <w:szCs w:val="19"/>
        </w:rPr>
        <w:t>HbC</w:t>
      </w:r>
      <w:proofErr w:type="spellEnd"/>
      <w:r w:rsidRPr="0077406D">
        <w:rPr>
          <w:rFonts w:ascii="Arial MT Std" w:hAnsi="Arial MT Std" w:cs="Arial MT Std"/>
          <w:color w:val="000000"/>
          <w:sz w:val="19"/>
          <w:szCs w:val="19"/>
        </w:rPr>
        <w:t xml:space="preserve">. </w:t>
      </w:r>
    </w:p>
    <w:p w14:paraId="6E80E2E0" w14:textId="42CEFF90"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C Disease </w:t>
      </w:r>
      <w:r w:rsidRPr="0077406D">
        <w:rPr>
          <w:rFonts w:ascii="Arial MT Std" w:hAnsi="Arial MT Std" w:cs="Arial MT Std"/>
          <w:color w:val="000000"/>
          <w:sz w:val="19"/>
          <w:szCs w:val="19"/>
        </w:rPr>
        <w:tab/>
      </w:r>
      <w:r w:rsidRPr="0077406D">
        <w:rPr>
          <w:rFonts w:ascii="Arial MT Std" w:hAnsi="Arial MT Std" w:cs="Arial MT Std"/>
          <w:color w:val="000000"/>
          <w:sz w:val="19"/>
          <w:szCs w:val="19"/>
        </w:rPr>
        <w:br/>
        <w:t xml:space="preserve">This is a homozygous state showing almost exclusively </w:t>
      </w:r>
      <w:proofErr w:type="spellStart"/>
      <w:r w:rsidRPr="0077406D">
        <w:rPr>
          <w:rFonts w:ascii="Arial MT Std" w:hAnsi="Arial MT Std" w:cs="Arial MT Std"/>
          <w:color w:val="000000"/>
          <w:sz w:val="19"/>
          <w:szCs w:val="19"/>
        </w:rPr>
        <w:t>HbC</w:t>
      </w:r>
      <w:proofErr w:type="spellEnd"/>
      <w:r w:rsidRPr="0077406D">
        <w:rPr>
          <w:rFonts w:ascii="Arial MT Std" w:hAnsi="Arial MT Std" w:cs="Arial MT Std"/>
          <w:color w:val="000000"/>
          <w:sz w:val="19"/>
          <w:szCs w:val="19"/>
        </w:rPr>
        <w:t>.</w:t>
      </w:r>
    </w:p>
    <w:p w14:paraId="6F50B6BE" w14:textId="77777777" w:rsidR="00647FD3"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Thalassemia Major </w:t>
      </w:r>
    </w:p>
    <w:p w14:paraId="6CA7BE32" w14:textId="21B31C48" w:rsidR="0077406D" w:rsidRPr="0077406D" w:rsidRDefault="0077406D" w:rsidP="0077406D">
      <w:pPr>
        <w:tabs>
          <w:tab w:val="left" w:pos="217"/>
        </w:tabs>
        <w:autoSpaceDE w:val="0"/>
        <w:autoSpaceDN w:val="0"/>
        <w:adjustRightInd w:val="0"/>
        <w:spacing w:line="288" w:lineRule="auto"/>
        <w:jc w:val="both"/>
        <w:textAlignment w:val="center"/>
        <w:rPr>
          <w:rFonts w:ascii="Arial MT Std" w:hAnsi="Arial MT Std" w:cs="Arial MT Std"/>
          <w:color w:val="000000"/>
          <w:sz w:val="19"/>
          <w:szCs w:val="19"/>
        </w:rPr>
      </w:pPr>
      <w:r w:rsidRPr="0077406D">
        <w:rPr>
          <w:rFonts w:ascii="Arial MT Std" w:hAnsi="Arial MT Std" w:cs="Arial MT Std"/>
          <w:color w:val="000000"/>
          <w:sz w:val="19"/>
          <w:szCs w:val="19"/>
        </w:rPr>
        <w:t xml:space="preserve">This condition shows </w:t>
      </w:r>
      <w:proofErr w:type="spellStart"/>
      <w:r w:rsidRPr="0077406D">
        <w:rPr>
          <w:rFonts w:ascii="Arial MT Std" w:hAnsi="Arial MT Std" w:cs="Arial MT Std"/>
          <w:color w:val="000000"/>
          <w:sz w:val="19"/>
          <w:szCs w:val="19"/>
        </w:rPr>
        <w:t>HbF</w:t>
      </w:r>
      <w:proofErr w:type="spellEnd"/>
      <w:r w:rsidRPr="0077406D">
        <w:rPr>
          <w:rFonts w:ascii="Arial MT Std" w:hAnsi="Arial MT Std" w:cs="Arial MT Std"/>
          <w:color w:val="000000"/>
          <w:sz w:val="19"/>
          <w:szCs w:val="19"/>
        </w:rPr>
        <w:t xml:space="preserve">, </w:t>
      </w:r>
      <w:proofErr w:type="spellStart"/>
      <w:r w:rsidRPr="0077406D">
        <w:rPr>
          <w:rFonts w:ascii="Arial MT Std" w:hAnsi="Arial MT Std" w:cs="Arial MT Std"/>
          <w:color w:val="000000"/>
          <w:sz w:val="19"/>
          <w:szCs w:val="19"/>
        </w:rPr>
        <w:t>HbA</w:t>
      </w:r>
      <w:proofErr w:type="spellEnd"/>
      <w:r w:rsidRPr="0077406D">
        <w:rPr>
          <w:rFonts w:ascii="Arial MT Std" w:hAnsi="Arial MT Std" w:cs="Arial MT Std"/>
          <w:color w:val="000000"/>
          <w:sz w:val="19"/>
          <w:szCs w:val="19"/>
        </w:rPr>
        <w:t xml:space="preserve"> and HbA</w:t>
      </w:r>
      <w:r w:rsidRPr="0077406D">
        <w:rPr>
          <w:rFonts w:ascii="Arial MT Std" w:hAnsi="Arial MT Std" w:cs="Arial MT Std"/>
          <w:color w:val="000000"/>
          <w:sz w:val="19"/>
          <w:szCs w:val="19"/>
          <w:vertAlign w:val="subscript"/>
        </w:rPr>
        <w:t>2</w:t>
      </w:r>
      <w:r w:rsidRPr="0077406D">
        <w:rPr>
          <w:rFonts w:ascii="Arial MT Std" w:hAnsi="Arial MT Std" w:cs="Arial MT Std"/>
          <w:color w:val="000000"/>
          <w:sz w:val="19"/>
          <w:szCs w:val="19"/>
        </w:rPr>
        <w:t xml:space="preserve">. </w:t>
      </w:r>
    </w:p>
    <w:p w14:paraId="7A38857D" w14:textId="77777777" w:rsidR="0077406D" w:rsidRPr="0077406D" w:rsidRDefault="0077406D" w:rsidP="0077406D">
      <w:pPr>
        <w:autoSpaceDE w:val="0"/>
        <w:autoSpaceDN w:val="0"/>
        <w:adjustRightInd w:val="0"/>
        <w:spacing w:before="40" w:line="288" w:lineRule="auto"/>
        <w:jc w:val="both"/>
        <w:textAlignment w:val="center"/>
        <w:rPr>
          <w:rFonts w:ascii="Arial MT Std" w:hAnsi="Arial MT Std" w:cs="Arial MT Std"/>
          <w:b/>
          <w:bCs/>
          <w:color w:val="000000"/>
          <w:sz w:val="19"/>
          <w:szCs w:val="19"/>
        </w:rPr>
      </w:pPr>
      <w:r w:rsidRPr="0077406D">
        <w:rPr>
          <w:rFonts w:ascii="Arial MT Std" w:hAnsi="Arial MT Std" w:cs="Arial MT Std"/>
          <w:b/>
          <w:bCs/>
          <w:color w:val="000000"/>
          <w:sz w:val="19"/>
          <w:szCs w:val="19"/>
        </w:rPr>
        <w:lastRenderedPageBreak/>
        <w:t xml:space="preserve">BIBLIOGRAPHY </w:t>
      </w:r>
    </w:p>
    <w:p w14:paraId="6565FA07" w14:textId="6566BA02"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9"/>
          <w:szCs w:val="19"/>
        </w:rPr>
        <w:tab/>
      </w:r>
      <w:r w:rsidRPr="0077406D">
        <w:rPr>
          <w:rFonts w:ascii="Arial MT Std" w:hAnsi="Arial MT Std" w:cs="Arial MT Std"/>
          <w:color w:val="000000"/>
          <w:sz w:val="16"/>
          <w:szCs w:val="16"/>
        </w:rPr>
        <w:t xml:space="preserve">1. </w:t>
      </w:r>
      <w:r w:rsidRPr="0077406D">
        <w:rPr>
          <w:rFonts w:ascii="Arial MT Std" w:hAnsi="Arial MT Std" w:cs="Arial MT Std"/>
          <w:color w:val="000000"/>
          <w:sz w:val="16"/>
          <w:szCs w:val="16"/>
        </w:rPr>
        <w:tab/>
      </w:r>
      <w:proofErr w:type="spellStart"/>
      <w:r w:rsidRPr="0077406D">
        <w:rPr>
          <w:rFonts w:ascii="Arial MT Std" w:hAnsi="Arial MT Std" w:cs="Arial MT Std"/>
          <w:color w:val="000000"/>
          <w:sz w:val="16"/>
          <w:szCs w:val="16"/>
        </w:rPr>
        <w:t>Wintrobe</w:t>
      </w:r>
      <w:proofErr w:type="spellEnd"/>
      <w:r w:rsidRPr="0077406D">
        <w:rPr>
          <w:rFonts w:ascii="Arial MT Std" w:hAnsi="Arial MT Std" w:cs="Arial MT Std"/>
          <w:color w:val="000000"/>
          <w:sz w:val="16"/>
          <w:szCs w:val="16"/>
        </w:rPr>
        <w:t xml:space="preserve">, Maxwell M., </w:t>
      </w:r>
      <w:r w:rsidRPr="0077406D">
        <w:rPr>
          <w:rFonts w:ascii="Arial MT Std" w:hAnsi="Arial MT Std" w:cs="Arial MT Std"/>
          <w:color w:val="000000"/>
          <w:sz w:val="16"/>
          <w:szCs w:val="16"/>
          <w:u w:val="single"/>
        </w:rPr>
        <w:t>Clinical Hematology</w:t>
      </w:r>
      <w:r w:rsidRPr="0077406D">
        <w:rPr>
          <w:rFonts w:ascii="Arial MT Std" w:hAnsi="Arial MT Std" w:cs="Arial MT Std"/>
          <w:color w:val="000000"/>
          <w:sz w:val="16"/>
          <w:szCs w:val="16"/>
        </w:rPr>
        <w:t xml:space="preserve">, 6th Edition, </w:t>
      </w:r>
      <w:proofErr w:type="spellStart"/>
      <w:r w:rsidRPr="0077406D">
        <w:rPr>
          <w:rFonts w:ascii="Arial MT Std" w:hAnsi="Arial MT Std" w:cs="Arial MT Std"/>
          <w:color w:val="000000"/>
          <w:sz w:val="16"/>
          <w:szCs w:val="16"/>
        </w:rPr>
        <w:t>LeFebiger</w:t>
      </w:r>
      <w:proofErr w:type="spellEnd"/>
      <w:r w:rsidRPr="0077406D">
        <w:rPr>
          <w:rFonts w:ascii="Arial MT Std" w:hAnsi="Arial MT Std" w:cs="Arial MT Std"/>
          <w:color w:val="000000"/>
          <w:sz w:val="16"/>
          <w:szCs w:val="16"/>
        </w:rPr>
        <w:t xml:space="preserve">, Philadelphia, 1967. </w:t>
      </w:r>
    </w:p>
    <w:p w14:paraId="1435D4DC" w14:textId="16EC04D0"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6"/>
          <w:szCs w:val="16"/>
        </w:rPr>
        <w:tab/>
        <w:t xml:space="preserve">2. </w:t>
      </w:r>
      <w:r w:rsidRPr="0077406D">
        <w:rPr>
          <w:rFonts w:ascii="Arial MT Std" w:hAnsi="Arial MT Std" w:cs="Arial MT Std"/>
          <w:color w:val="000000"/>
          <w:sz w:val="16"/>
          <w:szCs w:val="16"/>
        </w:rPr>
        <w:tab/>
        <w:t xml:space="preserve">Fairbanks, V.F., Diagnostic Medicine, Nov/Dec., 53-58, 1980. </w:t>
      </w:r>
    </w:p>
    <w:p w14:paraId="7033A821" w14:textId="38CDFA15"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6"/>
          <w:szCs w:val="16"/>
        </w:rPr>
        <w:tab/>
        <w:t xml:space="preserve">3. </w:t>
      </w:r>
      <w:r w:rsidRPr="0077406D">
        <w:rPr>
          <w:rFonts w:ascii="Arial MT Std" w:hAnsi="Arial MT Std" w:cs="Arial MT Std"/>
          <w:color w:val="000000"/>
          <w:sz w:val="16"/>
          <w:szCs w:val="16"/>
        </w:rPr>
        <w:tab/>
        <w:t xml:space="preserve">Schneider, R.G., et al., Laboratory Identification of the </w:t>
      </w:r>
      <w:proofErr w:type="spellStart"/>
      <w:r w:rsidRPr="0077406D">
        <w:rPr>
          <w:rFonts w:ascii="Arial MT Std" w:hAnsi="Arial MT Std" w:cs="Arial MT Std"/>
          <w:color w:val="000000"/>
          <w:sz w:val="16"/>
          <w:szCs w:val="16"/>
        </w:rPr>
        <w:t>Hemoglobins</w:t>
      </w:r>
      <w:proofErr w:type="spellEnd"/>
      <w:r w:rsidRPr="0077406D">
        <w:rPr>
          <w:rFonts w:ascii="Arial MT Std" w:hAnsi="Arial MT Std" w:cs="Arial MT Std"/>
          <w:color w:val="000000"/>
          <w:sz w:val="16"/>
          <w:szCs w:val="16"/>
        </w:rPr>
        <w:t xml:space="preserve">, Lab Management, August, 29-43, 1981. </w:t>
      </w:r>
    </w:p>
    <w:p w14:paraId="08C5DA46" w14:textId="50FFCCE6"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6"/>
          <w:szCs w:val="16"/>
        </w:rPr>
        <w:tab/>
        <w:t xml:space="preserve">4. </w:t>
      </w:r>
      <w:r w:rsidRPr="0077406D">
        <w:rPr>
          <w:rFonts w:ascii="Arial MT Std" w:hAnsi="Arial MT Std" w:cs="Arial MT Std"/>
          <w:color w:val="000000"/>
          <w:sz w:val="16"/>
          <w:szCs w:val="16"/>
        </w:rPr>
        <w:tab/>
        <w:t>Center for Disease Control, Laboratory Methods for Detecting Hemoglobinopathies, U.S. Department of Health and Human Services/Public Health Service, 1984.</w:t>
      </w:r>
    </w:p>
    <w:p w14:paraId="295372A4" w14:textId="00646229"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6"/>
          <w:szCs w:val="16"/>
        </w:rPr>
        <w:tab/>
        <w:t xml:space="preserve">5. </w:t>
      </w:r>
      <w:r w:rsidRPr="0077406D">
        <w:rPr>
          <w:rFonts w:ascii="Arial MT Std" w:hAnsi="Arial MT Std" w:cs="Arial MT Std"/>
          <w:color w:val="000000"/>
          <w:sz w:val="16"/>
          <w:szCs w:val="16"/>
        </w:rPr>
        <w:tab/>
        <w:t xml:space="preserve">Schneider, R.G., Methods for Detection of Hemoglobin Variants and Hemoglobinopathies in the Routine Clinical Laboratory, CRC Critical Reviews in Clinical Laboratory Sciences, 1978. </w:t>
      </w:r>
    </w:p>
    <w:p w14:paraId="0161D4CC" w14:textId="261660C4"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6"/>
          <w:szCs w:val="16"/>
        </w:rPr>
        <w:tab/>
        <w:t xml:space="preserve">6. </w:t>
      </w:r>
      <w:r w:rsidRPr="0077406D">
        <w:rPr>
          <w:rFonts w:ascii="Arial MT Std" w:hAnsi="Arial MT Std" w:cs="Arial MT Std"/>
          <w:color w:val="000000"/>
          <w:sz w:val="16"/>
          <w:szCs w:val="16"/>
        </w:rPr>
        <w:tab/>
        <w:t xml:space="preserve">Schneider, R.G., et al., Abnormal </w:t>
      </w:r>
      <w:proofErr w:type="spellStart"/>
      <w:r w:rsidRPr="0077406D">
        <w:rPr>
          <w:rFonts w:ascii="Arial MT Std" w:hAnsi="Arial MT Std" w:cs="Arial MT Std"/>
          <w:color w:val="000000"/>
          <w:sz w:val="16"/>
          <w:szCs w:val="16"/>
        </w:rPr>
        <w:t>Hemoglobins</w:t>
      </w:r>
      <w:proofErr w:type="spellEnd"/>
      <w:r w:rsidRPr="0077406D">
        <w:rPr>
          <w:rFonts w:ascii="Arial MT Std" w:hAnsi="Arial MT Std" w:cs="Arial MT Std"/>
          <w:color w:val="000000"/>
          <w:sz w:val="16"/>
          <w:szCs w:val="16"/>
        </w:rPr>
        <w:t xml:space="preserve"> in a Quarter Million People, Blood, 48(5):629-637, 1976. </w:t>
      </w:r>
    </w:p>
    <w:p w14:paraId="212D5A12" w14:textId="438AF694"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6"/>
          <w:szCs w:val="16"/>
        </w:rPr>
        <w:tab/>
        <w:t xml:space="preserve">7. </w:t>
      </w:r>
      <w:r w:rsidRPr="0077406D">
        <w:rPr>
          <w:rFonts w:ascii="Arial MT Std" w:hAnsi="Arial MT Std" w:cs="Arial MT Std"/>
          <w:color w:val="000000"/>
          <w:sz w:val="16"/>
          <w:szCs w:val="16"/>
        </w:rPr>
        <w:tab/>
        <w:t xml:space="preserve">Huisman, T.H.J. and Schroeder, W.A., </w:t>
      </w:r>
      <w:r w:rsidRPr="0077406D">
        <w:rPr>
          <w:rFonts w:ascii="Arial MT Std" w:hAnsi="Arial MT Std" w:cs="Arial MT Std"/>
          <w:color w:val="000000"/>
          <w:sz w:val="16"/>
          <w:szCs w:val="16"/>
          <w:u w:val="single"/>
        </w:rPr>
        <w:t xml:space="preserve">New Aspects of the Structure, Function, and Synthesis of </w:t>
      </w:r>
      <w:proofErr w:type="spellStart"/>
      <w:r w:rsidRPr="0077406D">
        <w:rPr>
          <w:rFonts w:ascii="Arial MT Std" w:hAnsi="Arial MT Std" w:cs="Arial MT Std"/>
          <w:color w:val="000000"/>
          <w:sz w:val="16"/>
          <w:szCs w:val="16"/>
          <w:u w:val="single"/>
        </w:rPr>
        <w:t>Hemoglobins</w:t>
      </w:r>
      <w:proofErr w:type="spellEnd"/>
      <w:r w:rsidRPr="0077406D">
        <w:rPr>
          <w:rFonts w:ascii="Arial MT Std" w:hAnsi="Arial MT Std" w:cs="Arial MT Std"/>
          <w:color w:val="000000"/>
          <w:sz w:val="16"/>
          <w:szCs w:val="16"/>
        </w:rPr>
        <w:t xml:space="preserve">, CRC Press, Cleveland, 1971. </w:t>
      </w:r>
    </w:p>
    <w:p w14:paraId="63E534B6" w14:textId="4522568B"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6"/>
          <w:szCs w:val="16"/>
        </w:rPr>
        <w:tab/>
        <w:t xml:space="preserve">8. </w:t>
      </w:r>
      <w:r w:rsidRPr="0077406D">
        <w:rPr>
          <w:rFonts w:ascii="Arial MT Std" w:hAnsi="Arial MT Std" w:cs="Arial MT Std"/>
          <w:color w:val="000000"/>
          <w:sz w:val="16"/>
          <w:szCs w:val="16"/>
        </w:rPr>
        <w:tab/>
        <w:t xml:space="preserve">Schmidt, R.M., et al, </w:t>
      </w:r>
      <w:r w:rsidRPr="0077406D">
        <w:rPr>
          <w:rFonts w:ascii="Arial MT Std" w:hAnsi="Arial MT Std" w:cs="Arial MT Std"/>
          <w:color w:val="000000"/>
          <w:sz w:val="16"/>
          <w:szCs w:val="16"/>
          <w:u w:val="single"/>
        </w:rPr>
        <w:t>The Detection of Hemoglobinopathies</w:t>
      </w:r>
      <w:r w:rsidRPr="0077406D">
        <w:rPr>
          <w:rFonts w:ascii="Arial MT Std" w:hAnsi="Arial MT Std" w:cs="Arial MT Std"/>
          <w:color w:val="000000"/>
          <w:sz w:val="16"/>
          <w:szCs w:val="16"/>
        </w:rPr>
        <w:t xml:space="preserve">, CRC Press, Cleveland 1974. </w:t>
      </w:r>
    </w:p>
    <w:p w14:paraId="6B241D18" w14:textId="515EF6F9"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6"/>
          <w:szCs w:val="16"/>
        </w:rPr>
        <w:tab/>
        <w:t>9.</w:t>
      </w:r>
      <w:r w:rsidRPr="0077406D">
        <w:rPr>
          <w:rFonts w:ascii="Arial MT Std" w:hAnsi="Arial MT Std" w:cs="Arial MT Std"/>
          <w:color w:val="000000"/>
          <w:sz w:val="16"/>
          <w:szCs w:val="16"/>
        </w:rPr>
        <w:tab/>
      </w:r>
      <w:proofErr w:type="spellStart"/>
      <w:r w:rsidRPr="0077406D">
        <w:rPr>
          <w:rFonts w:ascii="Arial MT Std" w:hAnsi="Arial MT Std" w:cs="Arial MT Std"/>
          <w:color w:val="000000"/>
          <w:sz w:val="16"/>
          <w:szCs w:val="16"/>
        </w:rPr>
        <w:t>Tietz</w:t>
      </w:r>
      <w:proofErr w:type="spellEnd"/>
      <w:r w:rsidRPr="0077406D">
        <w:rPr>
          <w:rFonts w:ascii="Arial MT Std" w:hAnsi="Arial MT Std" w:cs="Arial MT Std"/>
          <w:color w:val="000000"/>
          <w:sz w:val="16"/>
          <w:szCs w:val="16"/>
        </w:rPr>
        <w:t xml:space="preserve">, N.W., </w:t>
      </w:r>
      <w:r w:rsidRPr="0077406D">
        <w:rPr>
          <w:rFonts w:ascii="Arial MT Std" w:hAnsi="Arial MT Std" w:cs="Arial MT Std"/>
          <w:color w:val="000000"/>
          <w:sz w:val="16"/>
          <w:szCs w:val="16"/>
          <w:u w:val="single"/>
        </w:rPr>
        <w:t>Clinical Guide to Laboratory Tests</w:t>
      </w:r>
      <w:r w:rsidRPr="0077406D">
        <w:rPr>
          <w:rFonts w:ascii="Arial MT Std" w:hAnsi="Arial MT Std" w:cs="Arial MT Std"/>
          <w:color w:val="000000"/>
          <w:sz w:val="16"/>
          <w:szCs w:val="16"/>
        </w:rPr>
        <w:t>, 4th Edition, W.B. Saunders Co. Philadelphia, 2006.</w:t>
      </w:r>
    </w:p>
    <w:p w14:paraId="637D0453" w14:textId="43359E8D"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16"/>
          <w:szCs w:val="16"/>
        </w:rPr>
      </w:pPr>
      <w:r w:rsidRPr="0077406D">
        <w:rPr>
          <w:rFonts w:ascii="Arial MT Std" w:hAnsi="Arial MT Std" w:cs="Arial MT Std"/>
          <w:color w:val="000000"/>
          <w:sz w:val="16"/>
          <w:szCs w:val="16"/>
        </w:rPr>
        <w:tab/>
        <w:t xml:space="preserve">10. </w:t>
      </w:r>
      <w:r w:rsidRPr="0077406D">
        <w:rPr>
          <w:rFonts w:ascii="Arial MT Std" w:hAnsi="Arial MT Std" w:cs="Arial MT Std"/>
          <w:color w:val="000000"/>
          <w:sz w:val="16"/>
          <w:szCs w:val="16"/>
        </w:rPr>
        <w:tab/>
        <w:t xml:space="preserve">Weatherall, D.J. and Clegg, J.B., </w:t>
      </w:r>
      <w:r w:rsidRPr="0077406D">
        <w:rPr>
          <w:rFonts w:ascii="Arial MT Std" w:hAnsi="Arial MT Std" w:cs="Arial MT Std"/>
          <w:color w:val="000000"/>
          <w:sz w:val="16"/>
          <w:szCs w:val="16"/>
          <w:u w:val="single"/>
        </w:rPr>
        <w:t xml:space="preserve">The </w:t>
      </w:r>
      <w:proofErr w:type="spellStart"/>
      <w:r w:rsidRPr="0077406D">
        <w:rPr>
          <w:rFonts w:ascii="Arial MT Std" w:hAnsi="Arial MT Std" w:cs="Arial MT Std"/>
          <w:color w:val="000000"/>
          <w:sz w:val="16"/>
          <w:szCs w:val="16"/>
          <w:u w:val="single"/>
        </w:rPr>
        <w:t>Thalassaemia</w:t>
      </w:r>
      <w:proofErr w:type="spellEnd"/>
      <w:r w:rsidRPr="0077406D">
        <w:rPr>
          <w:rFonts w:ascii="Arial MT Std" w:hAnsi="Arial MT Std" w:cs="Arial MT Std"/>
          <w:color w:val="000000"/>
          <w:sz w:val="16"/>
          <w:szCs w:val="16"/>
          <w:u w:val="single"/>
        </w:rPr>
        <w:t xml:space="preserve"> Syndromes</w:t>
      </w:r>
      <w:r w:rsidRPr="0077406D">
        <w:rPr>
          <w:rFonts w:ascii="Arial MT Std" w:hAnsi="Arial MT Std" w:cs="Arial MT Std"/>
          <w:color w:val="000000"/>
          <w:sz w:val="16"/>
          <w:szCs w:val="16"/>
        </w:rPr>
        <w:t xml:space="preserve">, Blackwell Scientific Publications, Oxford, 1972. </w:t>
      </w:r>
    </w:p>
    <w:p w14:paraId="4E1BBF7D" w14:textId="7B1056DE" w:rsidR="0077406D" w:rsidRPr="0077406D" w:rsidRDefault="0077406D" w:rsidP="0077406D">
      <w:pPr>
        <w:tabs>
          <w:tab w:val="right" w:pos="200"/>
          <w:tab w:val="left" w:pos="320"/>
        </w:tabs>
        <w:autoSpaceDE w:val="0"/>
        <w:autoSpaceDN w:val="0"/>
        <w:adjustRightInd w:val="0"/>
        <w:spacing w:line="288" w:lineRule="auto"/>
        <w:jc w:val="both"/>
        <w:textAlignment w:val="center"/>
        <w:rPr>
          <w:rFonts w:ascii="Arial MT Std" w:hAnsi="Arial MT Std" w:cs="Arial MT Std"/>
          <w:color w:val="000000"/>
          <w:sz w:val="20"/>
          <w:szCs w:val="20"/>
        </w:rPr>
      </w:pPr>
      <w:r w:rsidRPr="0077406D">
        <w:rPr>
          <w:rFonts w:ascii="Arial MT Std" w:hAnsi="Arial MT Std" w:cs="Arial MT Std"/>
          <w:color w:val="000000"/>
          <w:sz w:val="16"/>
          <w:szCs w:val="16"/>
        </w:rPr>
        <w:tab/>
        <w:t>11.</w:t>
      </w:r>
      <w:r w:rsidRPr="0077406D">
        <w:rPr>
          <w:rFonts w:ascii="Arial MT Std" w:hAnsi="Arial MT Std" w:cs="Arial MT Std"/>
          <w:color w:val="000000"/>
          <w:sz w:val="16"/>
          <w:szCs w:val="16"/>
        </w:rPr>
        <w:tab/>
        <w:t xml:space="preserve">Lehman, H. and Huntsman, R.G., </w:t>
      </w:r>
      <w:r w:rsidRPr="0077406D">
        <w:rPr>
          <w:rFonts w:ascii="Arial MT Std" w:hAnsi="Arial MT Std" w:cs="Arial MT Std"/>
          <w:color w:val="000000"/>
          <w:sz w:val="16"/>
          <w:szCs w:val="16"/>
          <w:u w:val="single"/>
        </w:rPr>
        <w:t xml:space="preserve">Man’s </w:t>
      </w:r>
      <w:proofErr w:type="spellStart"/>
      <w:r w:rsidRPr="0077406D">
        <w:rPr>
          <w:rFonts w:ascii="Arial MT Std" w:hAnsi="Arial MT Std" w:cs="Arial MT Std"/>
          <w:color w:val="000000"/>
          <w:sz w:val="16"/>
          <w:szCs w:val="16"/>
          <w:u w:val="single"/>
        </w:rPr>
        <w:t>Haemoglobins</w:t>
      </w:r>
      <w:proofErr w:type="spellEnd"/>
      <w:r w:rsidRPr="0077406D">
        <w:rPr>
          <w:rFonts w:ascii="Arial MT Std" w:hAnsi="Arial MT Std" w:cs="Arial MT Std"/>
          <w:color w:val="000000"/>
          <w:sz w:val="16"/>
          <w:szCs w:val="16"/>
        </w:rPr>
        <w:t>, J.B. Lippincott Co., Philadelphia, 1974.</w:t>
      </w:r>
      <w:r w:rsidRPr="0077406D">
        <w:rPr>
          <w:rFonts w:ascii="Arial MT Std" w:hAnsi="Arial MT Std" w:cs="Arial MT Std"/>
          <w:color w:val="000000"/>
          <w:sz w:val="19"/>
          <w:szCs w:val="19"/>
        </w:rPr>
        <w:t xml:space="preserve"> </w:t>
      </w:r>
    </w:p>
    <w:p w14:paraId="198E085D" w14:textId="77777777" w:rsidR="0077406D" w:rsidRPr="0077406D" w:rsidRDefault="0077406D" w:rsidP="0077406D">
      <w:pPr>
        <w:tabs>
          <w:tab w:val="right" w:pos="200"/>
          <w:tab w:val="left" w:pos="400"/>
        </w:tabs>
        <w:autoSpaceDE w:val="0"/>
        <w:autoSpaceDN w:val="0"/>
        <w:adjustRightInd w:val="0"/>
        <w:spacing w:line="288" w:lineRule="auto"/>
        <w:jc w:val="both"/>
        <w:textAlignment w:val="center"/>
        <w:rPr>
          <w:rFonts w:ascii="Arial MT Std" w:hAnsi="Arial MT Std" w:cs="Arial MT Std"/>
          <w:color w:val="000000"/>
          <w:sz w:val="18"/>
          <w:szCs w:val="18"/>
        </w:rPr>
      </w:pPr>
    </w:p>
    <w:p w14:paraId="78E3851D"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8"/>
          <w:szCs w:val="18"/>
        </w:rPr>
      </w:pPr>
      <w:r w:rsidRPr="0077406D">
        <w:rPr>
          <w:rFonts w:ascii="Arial MT Std" w:hAnsi="Arial MT Std" w:cs="Arial MT Std"/>
          <w:color w:val="000000"/>
          <w:sz w:val="22"/>
          <w:szCs w:val="22"/>
        </w:rPr>
        <w:t xml:space="preserve">For Sales, Technical and Order Information and Service Assistance, call 800-231-5663 toll free. </w:t>
      </w:r>
    </w:p>
    <w:p w14:paraId="4B76A59E"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8"/>
          <w:szCs w:val="18"/>
        </w:rPr>
      </w:pPr>
    </w:p>
    <w:p w14:paraId="21BC7072"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4"/>
          <w:szCs w:val="14"/>
        </w:rPr>
      </w:pPr>
      <w:r w:rsidRPr="0077406D">
        <w:rPr>
          <w:rFonts w:ascii="Arial MT Std" w:hAnsi="Arial MT Std" w:cs="Arial MT Std"/>
          <w:color w:val="000000"/>
          <w:sz w:val="14"/>
          <w:szCs w:val="14"/>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55329B48" w14:textId="77777777" w:rsidR="0077406D" w:rsidRPr="0077406D" w:rsidRDefault="0077406D" w:rsidP="0077406D">
      <w:pPr>
        <w:autoSpaceDE w:val="0"/>
        <w:autoSpaceDN w:val="0"/>
        <w:adjustRightInd w:val="0"/>
        <w:spacing w:line="288" w:lineRule="auto"/>
        <w:jc w:val="both"/>
        <w:textAlignment w:val="center"/>
        <w:rPr>
          <w:rFonts w:ascii="Arial MT Std" w:hAnsi="Arial MT Std" w:cs="Arial MT Std"/>
          <w:color w:val="000000"/>
          <w:sz w:val="14"/>
          <w:szCs w:val="14"/>
        </w:rPr>
      </w:pPr>
      <w:r w:rsidRPr="0077406D">
        <w:rPr>
          <w:rFonts w:ascii="Arial MT Std" w:hAnsi="Arial MT Std" w:cs="Arial MT Std"/>
          <w:color w:val="000000"/>
          <w:sz w:val="14"/>
          <w:szCs w:val="14"/>
        </w:rPr>
        <w:t xml:space="preserve">In no case will Helena Laboratories be liable for consequential damages even if Helena has been advised as to the possibility of such damages. </w:t>
      </w:r>
    </w:p>
    <w:p w14:paraId="2C68CB80" w14:textId="117BF924" w:rsidR="001D67FA" w:rsidRDefault="0077406D" w:rsidP="0077406D">
      <w:pPr>
        <w:rPr>
          <w:rFonts w:ascii="Arial MT Std" w:hAnsi="Arial MT Std" w:cs="Arial MT Std"/>
          <w:color w:val="000000"/>
          <w:sz w:val="14"/>
          <w:szCs w:val="14"/>
        </w:rPr>
      </w:pPr>
      <w:r w:rsidRPr="0077406D">
        <w:rPr>
          <w:rFonts w:ascii="Arial MT Std" w:hAnsi="Arial MT Std" w:cs="Arial MT Std"/>
          <w:color w:val="000000"/>
          <w:sz w:val="14"/>
          <w:szCs w:val="14"/>
        </w:rPr>
        <w:t>The foregoing warranties are in lieu of all warranties expressed or implied including, but not limited to, the implied warranties of merchantability and fitness for a particular purpose.</w:t>
      </w:r>
    </w:p>
    <w:p w14:paraId="2B6E5A5E" w14:textId="77777777" w:rsidR="0077406D" w:rsidRDefault="0077406D" w:rsidP="0077406D">
      <w:pPr>
        <w:rPr>
          <w:rFonts w:ascii="Arial MT Std" w:hAnsi="Arial MT Std" w:cs="Arial MT Std"/>
          <w:color w:val="000000"/>
          <w:sz w:val="14"/>
          <w:szCs w:val="14"/>
        </w:rPr>
      </w:pPr>
    </w:p>
    <w:p w14:paraId="2B8958B7" w14:textId="77777777" w:rsidR="0077406D" w:rsidRPr="00EC5C45" w:rsidRDefault="0077406D" w:rsidP="0077406D">
      <w:pPr>
        <w:rPr>
          <w:rFonts w:ascii="Arial" w:hAnsi="Arial" w:cs="Arial"/>
          <w:sz w:val="12"/>
          <w:szCs w:val="12"/>
        </w:rPr>
      </w:pPr>
    </w:p>
    <w:p w14:paraId="4B53BA60" w14:textId="77777777" w:rsidR="001D67FA" w:rsidRPr="00EC5C45" w:rsidRDefault="001D67FA" w:rsidP="00D9228C">
      <w:pPr>
        <w:rPr>
          <w:rFonts w:ascii="Arial" w:hAnsi="Arial" w:cs="Arial"/>
          <w:sz w:val="12"/>
          <w:szCs w:val="12"/>
        </w:rPr>
      </w:pPr>
    </w:p>
    <w:p w14:paraId="6621DCA6" w14:textId="757D7FCF" w:rsidR="001D67FA" w:rsidRPr="00EC5C45" w:rsidRDefault="00D6505D" w:rsidP="007E0907">
      <w:pPr>
        <w:rPr>
          <w:rFonts w:ascii="Arial" w:hAnsi="Arial" w:cs="Arial"/>
          <w:sz w:val="12"/>
          <w:szCs w:val="12"/>
        </w:rPr>
      </w:pPr>
      <w:r w:rsidRPr="00EC5C45">
        <w:rPr>
          <w:rFonts w:ascii="Arial" w:hAnsi="Arial" w:cs="Arial"/>
          <w:sz w:val="12"/>
          <w:szCs w:val="12"/>
        </w:rPr>
        <w:t xml:space="preserve">Pro. </w:t>
      </w:r>
      <w:r w:rsidR="00DE5908" w:rsidRPr="00EC5C45">
        <w:rPr>
          <w:rFonts w:ascii="Arial" w:hAnsi="Arial" w:cs="Arial"/>
          <w:sz w:val="12"/>
          <w:szCs w:val="12"/>
        </w:rPr>
        <w:t>27</w:t>
      </w:r>
      <w:r w:rsidR="0077406D">
        <w:rPr>
          <w:rFonts w:ascii="Arial" w:hAnsi="Arial" w:cs="Arial"/>
          <w:sz w:val="12"/>
          <w:szCs w:val="12"/>
        </w:rPr>
        <w:t>2</w:t>
      </w:r>
    </w:p>
    <w:p w14:paraId="3C1ABC19" w14:textId="1EDB72E3" w:rsidR="001D67FA" w:rsidRPr="00EC5C45" w:rsidRDefault="00801789" w:rsidP="007E0907">
      <w:pPr>
        <w:rPr>
          <w:rFonts w:ascii="Arial" w:hAnsi="Arial" w:cs="Arial"/>
          <w:sz w:val="12"/>
          <w:szCs w:val="12"/>
        </w:rPr>
      </w:pPr>
      <w:r>
        <w:rPr>
          <w:rFonts w:ascii="Arial" w:hAnsi="Arial" w:cs="Arial"/>
          <w:sz w:val="12"/>
          <w:szCs w:val="12"/>
        </w:rPr>
        <w:t>11</w:t>
      </w:r>
      <w:r w:rsidR="00B11E63">
        <w:rPr>
          <w:rFonts w:ascii="Arial" w:hAnsi="Arial" w:cs="Arial"/>
          <w:sz w:val="12"/>
          <w:szCs w:val="12"/>
        </w:rPr>
        <w:t>/22</w:t>
      </w:r>
    </w:p>
    <w:p w14:paraId="68AEE538" w14:textId="6F73855E" w:rsidR="001D67FA" w:rsidRPr="00EC5C45" w:rsidRDefault="007E0907" w:rsidP="007E0907">
      <w:pPr>
        <w:rPr>
          <w:rFonts w:ascii="Arial" w:hAnsi="Arial" w:cs="Arial"/>
          <w:sz w:val="12"/>
          <w:szCs w:val="12"/>
        </w:rPr>
      </w:pPr>
      <w:r w:rsidRPr="00EC5C45">
        <w:rPr>
          <w:rFonts w:ascii="Arial" w:hAnsi="Arial" w:cs="Arial"/>
          <w:noProof/>
          <w:sz w:val="12"/>
          <w:szCs w:val="12"/>
        </w:rPr>
        <w:drawing>
          <wp:inline distT="0" distB="0" distL="0" distR="0" wp14:anchorId="3DD04B54" wp14:editId="7AE6A9CF">
            <wp:extent cx="2095500" cy="73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5500" cy="736600"/>
                    </a:xfrm>
                    <a:prstGeom prst="rect">
                      <a:avLst/>
                    </a:prstGeom>
                  </pic:spPr>
                </pic:pic>
              </a:graphicData>
            </a:graphic>
          </wp:inline>
        </w:drawing>
      </w:r>
    </w:p>
    <w:sectPr w:rsidR="001D67FA" w:rsidRPr="00EC5C45" w:rsidSect="006B16D4">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20B0604020202020204"/>
    <w:charset w:val="00"/>
    <w:family w:val="auto"/>
    <w:pitch w:val="variable"/>
    <w:sig w:usb0="E0002AFF" w:usb1="C0007843" w:usb2="00000009" w:usb3="00000000" w:csb0="000001FF" w:csb1="00000000"/>
  </w:font>
  <w:font w:name="ArialNarrow-Bold">
    <w:altName w:val="Arial"/>
    <w:panose1 w:val="020B0706020202030204"/>
    <w:charset w:val="00"/>
    <w:family w:val="swiss"/>
    <w:pitch w:val="variable"/>
    <w:sig w:usb0="00000287" w:usb1="00000800" w:usb2="00000000" w:usb3="00000000" w:csb0="0000009F" w:csb1="00000000"/>
  </w:font>
  <w:font w:name="ArialNarrow">
    <w:altName w:val="Arial"/>
    <w:panose1 w:val="020B0606020202030204"/>
    <w:charset w:val="00"/>
    <w:family w:val="swiss"/>
    <w:pitch w:val="variable"/>
    <w:sig w:usb0="00000287" w:usb1="00000800" w:usb2="00000000" w:usb3="00000000" w:csb0="0000009F" w:csb1="00000000"/>
  </w:font>
  <w:font w:name="Arial Narrow MT Std">
    <w:panose1 w:val="020B0506020202030204"/>
    <w:charset w:val="00"/>
    <w:family w:val="swiss"/>
    <w:notTrueType/>
    <w:pitch w:val="variable"/>
    <w:sig w:usb0="800000AF" w:usb1="4000204A" w:usb2="00000000" w:usb3="00000000" w:csb0="0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Std">
    <w:panose1 w:val="020B0402020200020204"/>
    <w:charset w:val="00"/>
    <w:family w:val="swiss"/>
    <w:notTrueType/>
    <w:pitch w:val="variable"/>
    <w:sig w:usb0="800000AF" w:usb1="4000204A"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7"/>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F22"/>
    <w:rsid w:val="00012C02"/>
    <w:rsid w:val="00074BF6"/>
    <w:rsid w:val="0007779A"/>
    <w:rsid w:val="000D7C8E"/>
    <w:rsid w:val="00142768"/>
    <w:rsid w:val="001B5A39"/>
    <w:rsid w:val="001C146B"/>
    <w:rsid w:val="001D67FA"/>
    <w:rsid w:val="002236E2"/>
    <w:rsid w:val="002B3BF1"/>
    <w:rsid w:val="002C31D5"/>
    <w:rsid w:val="00320BEC"/>
    <w:rsid w:val="00323565"/>
    <w:rsid w:val="003F0811"/>
    <w:rsid w:val="003F67C4"/>
    <w:rsid w:val="0042407F"/>
    <w:rsid w:val="004516B5"/>
    <w:rsid w:val="00465509"/>
    <w:rsid w:val="00491643"/>
    <w:rsid w:val="004D2DA2"/>
    <w:rsid w:val="004F2644"/>
    <w:rsid w:val="004F6B25"/>
    <w:rsid w:val="0051660B"/>
    <w:rsid w:val="00526C4A"/>
    <w:rsid w:val="00535D28"/>
    <w:rsid w:val="005925A6"/>
    <w:rsid w:val="005A3A85"/>
    <w:rsid w:val="005F1CB1"/>
    <w:rsid w:val="0060196E"/>
    <w:rsid w:val="0060264F"/>
    <w:rsid w:val="00607684"/>
    <w:rsid w:val="00633BA2"/>
    <w:rsid w:val="00647FD3"/>
    <w:rsid w:val="006B16D4"/>
    <w:rsid w:val="006C6D57"/>
    <w:rsid w:val="007412D2"/>
    <w:rsid w:val="00754992"/>
    <w:rsid w:val="0077406D"/>
    <w:rsid w:val="007828EA"/>
    <w:rsid w:val="00797649"/>
    <w:rsid w:val="007B36B3"/>
    <w:rsid w:val="007D7F22"/>
    <w:rsid w:val="007E0907"/>
    <w:rsid w:val="00801789"/>
    <w:rsid w:val="00805EDF"/>
    <w:rsid w:val="008827A9"/>
    <w:rsid w:val="00922F22"/>
    <w:rsid w:val="0094004D"/>
    <w:rsid w:val="009665EC"/>
    <w:rsid w:val="00966609"/>
    <w:rsid w:val="00966D8F"/>
    <w:rsid w:val="009B338C"/>
    <w:rsid w:val="009E7D9A"/>
    <w:rsid w:val="00A21A80"/>
    <w:rsid w:val="00A40D01"/>
    <w:rsid w:val="00A4545D"/>
    <w:rsid w:val="00A54A53"/>
    <w:rsid w:val="00A555F0"/>
    <w:rsid w:val="00A573D8"/>
    <w:rsid w:val="00B11E63"/>
    <w:rsid w:val="00B319E6"/>
    <w:rsid w:val="00B65DAE"/>
    <w:rsid w:val="00B849F7"/>
    <w:rsid w:val="00BA524C"/>
    <w:rsid w:val="00C01430"/>
    <w:rsid w:val="00C522C5"/>
    <w:rsid w:val="00C60BAC"/>
    <w:rsid w:val="00CC7356"/>
    <w:rsid w:val="00CE1317"/>
    <w:rsid w:val="00D6505D"/>
    <w:rsid w:val="00D9228C"/>
    <w:rsid w:val="00D9394C"/>
    <w:rsid w:val="00DD6757"/>
    <w:rsid w:val="00DE5908"/>
    <w:rsid w:val="00DF393A"/>
    <w:rsid w:val="00E243AC"/>
    <w:rsid w:val="00E50E84"/>
    <w:rsid w:val="00E87C4E"/>
    <w:rsid w:val="00EC4CE0"/>
    <w:rsid w:val="00EC5C45"/>
    <w:rsid w:val="00EE7000"/>
    <w:rsid w:val="00F10AE1"/>
    <w:rsid w:val="00F125A2"/>
    <w:rsid w:val="00F259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99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DF393A"/>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DF393A"/>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DF393A"/>
    <w:rPr>
      <w:rFonts w:ascii="ArialNarrow-Bold" w:hAnsi="ArialNarrow-Bold" w:cs="ArialNarrow-Bold"/>
      <w:b/>
      <w:bCs/>
      <w:color w:val="000000"/>
      <w:sz w:val="18"/>
      <w:szCs w:val="18"/>
    </w:rPr>
  </w:style>
  <w:style w:type="paragraph" w:styleId="Bibliography">
    <w:name w:val="Bibliography"/>
    <w:basedOn w:val="Normal"/>
    <w:next w:val="Normal"/>
    <w:uiPriority w:val="37"/>
    <w:semiHidden/>
    <w:unhideWhenUsed/>
    <w:rsid w:val="002236E2"/>
  </w:style>
  <w:style w:type="paragraph" w:customStyle="1" w:styleId="BodyCopy">
    <w:name w:val="Body Copy"/>
    <w:basedOn w:val="Normal"/>
    <w:uiPriority w:val="99"/>
    <w:rsid w:val="002236E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both"/>
      <w:textAlignment w:val="center"/>
    </w:pPr>
    <w:rPr>
      <w:rFonts w:ascii="ArialNarrow" w:hAnsi="ArialNarrow" w:cs="ArialNarrow"/>
      <w:color w:val="000000"/>
      <w:spacing w:val="-1"/>
      <w:sz w:val="16"/>
      <w:szCs w:val="16"/>
    </w:rPr>
  </w:style>
  <w:style w:type="paragraph" w:customStyle="1" w:styleId="BoldBodycopy">
    <w:name w:val="Bold Body copy"/>
    <w:basedOn w:val="BodyCopy"/>
    <w:uiPriority w:val="99"/>
    <w:rsid w:val="002236E2"/>
    <w:pPr>
      <w:spacing w:line="190" w:lineRule="atLeast"/>
    </w:pPr>
    <w:rPr>
      <w:rFonts w:ascii="ArialNarrow-Bold" w:hAnsi="ArialNarrow-Bold" w:cs="ArialNarrow-Bold"/>
      <w:b/>
      <w:bCs/>
    </w:rPr>
  </w:style>
  <w:style w:type="paragraph" w:customStyle="1" w:styleId="instructions">
    <w:name w:val="instructions"/>
    <w:basedOn w:val="Normal"/>
    <w:uiPriority w:val="99"/>
    <w:rsid w:val="002236E2"/>
    <w:pPr>
      <w:widowControl w:val="0"/>
      <w:tabs>
        <w:tab w:val="left" w:pos="120"/>
        <w:tab w:val="left" w:pos="480"/>
        <w:tab w:val="left" w:pos="1737"/>
        <w:tab w:val="right" w:pos="2790"/>
        <w:tab w:val="left" w:pos="3381"/>
        <w:tab w:val="right" w:pos="4971"/>
      </w:tabs>
      <w:autoSpaceDE w:val="0"/>
      <w:autoSpaceDN w:val="0"/>
      <w:adjustRightInd w:val="0"/>
      <w:spacing w:line="210" w:lineRule="atLeast"/>
      <w:jc w:val="both"/>
      <w:textAlignment w:val="center"/>
    </w:pPr>
    <w:rPr>
      <w:rFonts w:ascii="ArialNarrow" w:hAnsi="ArialNarrow" w:cs="ArialNarrow"/>
      <w:color w:val="000000"/>
      <w:sz w:val="16"/>
      <w:szCs w:val="16"/>
    </w:rPr>
  </w:style>
  <w:style w:type="paragraph" w:customStyle="1" w:styleId="BodyCopyBOLD">
    <w:name w:val="Body Copy BOLD"/>
    <w:basedOn w:val="BodyCopy"/>
    <w:uiPriority w:val="99"/>
    <w:rsid w:val="00320BEC"/>
    <w:pPr>
      <w:tabs>
        <w:tab w:val="clear" w:pos="640"/>
        <w:tab w:val="clear" w:pos="840"/>
        <w:tab w:val="clear" w:pos="1040"/>
        <w:tab w:val="clear" w:pos="1240"/>
        <w:tab w:val="clear" w:pos="1640"/>
        <w:tab w:val="clear" w:pos="1840"/>
        <w:tab w:val="clear" w:pos="2040"/>
        <w:tab w:val="clear" w:pos="2240"/>
        <w:tab w:val="clear" w:pos="2440"/>
        <w:tab w:val="clear" w:pos="2840"/>
        <w:tab w:val="clear" w:pos="3040"/>
        <w:tab w:val="clear" w:pos="3240"/>
        <w:tab w:val="clear" w:pos="3440"/>
        <w:tab w:val="clear" w:pos="3640"/>
        <w:tab w:val="clear" w:pos="4040"/>
        <w:tab w:val="clear" w:pos="4240"/>
        <w:tab w:val="clear" w:pos="4440"/>
        <w:tab w:val="clear" w:pos="4640"/>
        <w:tab w:val="clear" w:pos="4840"/>
        <w:tab w:val="left" w:pos="720"/>
        <w:tab w:val="left" w:pos="960"/>
        <w:tab w:val="left" w:pos="1200"/>
        <w:tab w:val="left" w:pos="1680"/>
        <w:tab w:val="left" w:pos="1920"/>
        <w:tab w:val="left" w:pos="2160"/>
        <w:tab w:val="left" w:pos="2400"/>
        <w:tab w:val="left" w:pos="2880"/>
        <w:tab w:val="left" w:pos="3120"/>
        <w:tab w:val="left" w:pos="3360"/>
        <w:tab w:val="left" w:pos="3600"/>
        <w:tab w:val="left" w:pos="4080"/>
      </w:tabs>
    </w:pPr>
    <w:rPr>
      <w:rFonts w:ascii="ArialNarrow-Bold" w:hAnsi="ArialNarrow-Bold" w:cs="ArialNarrow-Bold"/>
      <w:b/>
      <w:bCs/>
      <w:spacing w:val="0"/>
      <w:sz w:val="18"/>
      <w:szCs w:val="18"/>
    </w:rPr>
  </w:style>
  <w:style w:type="character" w:customStyle="1" w:styleId="Shading">
    <w:name w:val="Shading"/>
    <w:uiPriority w:val="99"/>
    <w:rsid w:val="00DD6757"/>
    <w:rPr>
      <w:rFonts w:ascii="Arial Narrow MT Std" w:hAnsi="Arial Narrow MT Std" w:cs="Arial Narrow MT Std"/>
      <w:u w:val="thick" w:color="000000"/>
    </w:rPr>
  </w:style>
  <w:style w:type="character" w:customStyle="1" w:styleId="Shadingwithunderline">
    <w:name w:val="Shading with underline"/>
    <w:uiPriority w:val="99"/>
    <w:rsid w:val="00797649"/>
    <w:rPr>
      <w:rFonts w:ascii="Arial Narrow MT Std" w:hAnsi="Arial Narrow MT Std" w:cs="Arial Narrow MT Std"/>
      <w:strike/>
      <w:w w:val="100"/>
      <w:u w:val="thick" w:color="000000"/>
    </w:rPr>
  </w:style>
  <w:style w:type="paragraph" w:customStyle="1" w:styleId="NoParagraphStyle">
    <w:name w:val="[No Paragraph Style]"/>
    <w:rsid w:val="00801789"/>
    <w:pPr>
      <w:autoSpaceDE w:val="0"/>
      <w:autoSpaceDN w:val="0"/>
      <w:adjustRightInd w:val="0"/>
      <w:spacing w:line="288" w:lineRule="auto"/>
      <w:textAlignment w:val="center"/>
    </w:pPr>
    <w:rPr>
      <w:rFonts w:ascii="Times" w:hAnsi="Times" w:cs="Time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18E2D-B80B-2441-A6C6-FF5F8AB4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8</Pages>
  <Words>3298</Words>
  <Characters>18805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Juliana Spencer</cp:lastModifiedBy>
  <cp:revision>39</cp:revision>
  <cp:lastPrinted>2022-03-08T21:49:00Z</cp:lastPrinted>
  <dcterms:created xsi:type="dcterms:W3CDTF">2017-01-05T19:54:00Z</dcterms:created>
  <dcterms:modified xsi:type="dcterms:W3CDTF">2023-04-06T15:38:00Z</dcterms:modified>
</cp:coreProperties>
</file>