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9AA49" w14:textId="77777777" w:rsidR="00774CDE" w:rsidRDefault="00774CDE">
      <w:pPr>
        <w:pStyle w:val="DefaultText"/>
        <w:rPr>
          <w:rFonts w:ascii="Arial" w:hAnsi="Arial" w:cs="Arial"/>
          <w:i/>
          <w:iCs/>
          <w:sz w:val="22"/>
        </w:rPr>
      </w:pPr>
      <w:r>
        <w:rPr>
          <w:rFonts w:ascii="Arial" w:hAnsi="Arial" w:cs="Arial"/>
          <w:i/>
          <w:iCs/>
          <w:sz w:val="22"/>
        </w:rPr>
        <w:t>PLEASE READ!!</w:t>
      </w:r>
    </w:p>
    <w:p w14:paraId="67B6A216" w14:textId="77777777" w:rsidR="00774CDE" w:rsidRDefault="00774CDE">
      <w:pPr>
        <w:pStyle w:val="DefaultText"/>
        <w:rPr>
          <w:rFonts w:ascii="Arial" w:hAnsi="Arial" w:cs="Arial"/>
          <w:sz w:val="22"/>
        </w:rPr>
      </w:pPr>
    </w:p>
    <w:p w14:paraId="64751196" w14:textId="77777777" w:rsidR="00774CDE" w:rsidRDefault="00774CDE">
      <w:pPr>
        <w:pStyle w:val="DefaultText"/>
        <w:rPr>
          <w:rFonts w:ascii="Arial" w:hAnsi="Arial" w:cs="Arial"/>
          <w:sz w:val="22"/>
        </w:rPr>
      </w:pPr>
    </w:p>
    <w:p w14:paraId="7A30A166" w14:textId="77777777" w:rsidR="00774CDE" w:rsidRDefault="00774CDE">
      <w:pPr>
        <w:pStyle w:val="DefaultText"/>
        <w:rPr>
          <w:rFonts w:ascii="Arial" w:hAnsi="Arial" w:cs="Arial"/>
          <w:sz w:val="22"/>
        </w:rPr>
      </w:pPr>
    </w:p>
    <w:p w14:paraId="36ACB433" w14:textId="77777777" w:rsidR="00774CDE" w:rsidRDefault="00774CDE">
      <w:pPr>
        <w:pStyle w:val="DefaultText"/>
        <w:rPr>
          <w:rFonts w:ascii="Arial" w:hAnsi="Arial" w:cs="Arial"/>
          <w:b/>
          <w:bCs/>
          <w:sz w:val="22"/>
        </w:rPr>
      </w:pPr>
      <w:r>
        <w:rPr>
          <w:rFonts w:ascii="Arial" w:hAnsi="Arial" w:cs="Arial"/>
          <w:b/>
          <w:bCs/>
          <w:sz w:val="22"/>
        </w:rPr>
        <w:t>HELENA LABORATORIES</w:t>
      </w:r>
    </w:p>
    <w:p w14:paraId="1A89E2F8" w14:textId="77777777" w:rsidR="00774CDE" w:rsidRDefault="00774CDE">
      <w:pPr>
        <w:pStyle w:val="DefaultText"/>
        <w:rPr>
          <w:rFonts w:ascii="Arial" w:hAnsi="Arial" w:cs="Arial"/>
          <w:b/>
          <w:bCs/>
          <w:sz w:val="22"/>
        </w:rPr>
      </w:pPr>
      <w:r>
        <w:rPr>
          <w:rFonts w:ascii="Arial" w:hAnsi="Arial" w:cs="Arial"/>
          <w:b/>
          <w:bCs/>
          <w:sz w:val="22"/>
        </w:rPr>
        <w:t>PROCEDURE DOWNLOAD END USER AGREEMENT</w:t>
      </w:r>
    </w:p>
    <w:p w14:paraId="36D500C9" w14:textId="77777777" w:rsidR="00774CDE" w:rsidRDefault="00774CDE">
      <w:pPr>
        <w:pStyle w:val="DefaultText"/>
        <w:rPr>
          <w:rFonts w:ascii="Arial" w:hAnsi="Arial" w:cs="Arial"/>
          <w:sz w:val="22"/>
        </w:rPr>
      </w:pPr>
    </w:p>
    <w:p w14:paraId="248BFDCE" w14:textId="77777777" w:rsidR="00774CDE" w:rsidRDefault="00774CDE">
      <w:pPr>
        <w:pStyle w:val="DefaultText"/>
        <w:rPr>
          <w:rFonts w:ascii="Arial" w:hAnsi="Arial" w:cs="Arial"/>
          <w:sz w:val="20"/>
        </w:rPr>
      </w:pPr>
    </w:p>
    <w:p w14:paraId="2994990F" w14:textId="77777777" w:rsidR="00774CDE" w:rsidRDefault="00774CDE">
      <w:pPr>
        <w:pStyle w:val="DefaultText"/>
        <w:rPr>
          <w:rFonts w:ascii="Arial" w:hAnsi="Arial" w:cs="Arial"/>
          <w:sz w:val="20"/>
        </w:rPr>
      </w:pPr>
    </w:p>
    <w:p w14:paraId="44C0AA64" w14:textId="77777777" w:rsidR="00774CDE" w:rsidRDefault="00774CDE">
      <w:pPr>
        <w:pStyle w:val="DefaultText"/>
        <w:rPr>
          <w:rFonts w:ascii="Arial" w:hAnsi="Arial" w:cs="Arial"/>
          <w:sz w:val="20"/>
        </w:rPr>
      </w:pPr>
      <w:r>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2E55A548" w14:textId="77777777" w:rsidR="00774CDE" w:rsidRDefault="00774CDE">
      <w:pPr>
        <w:pStyle w:val="DefaultText"/>
        <w:rPr>
          <w:rFonts w:ascii="Arial" w:hAnsi="Arial" w:cs="Arial"/>
          <w:sz w:val="20"/>
        </w:rPr>
      </w:pPr>
    </w:p>
    <w:p w14:paraId="26B284AA" w14:textId="77777777" w:rsidR="00774CDE" w:rsidRDefault="00774CDE">
      <w:pPr>
        <w:pStyle w:val="DefaultText"/>
        <w:rPr>
          <w:rFonts w:ascii="Arial" w:hAnsi="Arial" w:cs="Arial"/>
          <w:sz w:val="20"/>
        </w:rPr>
      </w:pPr>
      <w:r>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Pr>
          <w:rFonts w:ascii="Arial" w:hAnsi="Arial" w:cs="Arial"/>
          <w:sz w:val="20"/>
        </w:rPr>
        <w:t>{ }</w:t>
      </w:r>
      <w:proofErr w:type="gramEnd"/>
      <w:r>
        <w:rPr>
          <w:rFonts w:ascii="Arial" w:hAnsi="Arial" w:cs="Arial"/>
          <w:sz w:val="20"/>
        </w:rPr>
        <w:t>.</w:t>
      </w:r>
    </w:p>
    <w:p w14:paraId="29982881" w14:textId="77777777" w:rsidR="00774CDE" w:rsidRDefault="00774CDE">
      <w:pPr>
        <w:pStyle w:val="DefaultText"/>
        <w:rPr>
          <w:rFonts w:ascii="Arial" w:hAnsi="Arial" w:cs="Arial"/>
          <w:sz w:val="20"/>
        </w:rPr>
      </w:pPr>
    </w:p>
    <w:p w14:paraId="4D569FEC" w14:textId="77777777" w:rsidR="00774CDE" w:rsidRDefault="00774CDE">
      <w:pPr>
        <w:pStyle w:val="DefaultText"/>
        <w:rPr>
          <w:rFonts w:ascii="Arial" w:hAnsi="Arial" w:cs="Arial"/>
          <w:sz w:val="20"/>
        </w:rPr>
      </w:pPr>
    </w:p>
    <w:p w14:paraId="0F421061" w14:textId="77777777" w:rsidR="00774CDE" w:rsidRDefault="00774CDE">
      <w:pPr>
        <w:pStyle w:val="DefaultText"/>
        <w:rPr>
          <w:rFonts w:ascii="Arial" w:hAnsi="Arial" w:cs="Arial"/>
          <w:sz w:val="22"/>
        </w:rPr>
      </w:pPr>
      <w:r>
        <w:rPr>
          <w:rFonts w:ascii="Arial" w:hAnsi="Arial" w:cs="Arial"/>
          <w:sz w:val="22"/>
        </w:rPr>
        <w:t>WHAT YOU NEED TO KNOW:</w:t>
      </w:r>
    </w:p>
    <w:p w14:paraId="747B2570" w14:textId="77777777" w:rsidR="00774CDE" w:rsidRDefault="00774CDE">
      <w:pPr>
        <w:pStyle w:val="DefaultText"/>
        <w:tabs>
          <w:tab w:val="left" w:pos="540"/>
        </w:tabs>
        <w:rPr>
          <w:rFonts w:ascii="Arial" w:hAnsi="Arial" w:cs="Arial"/>
          <w:sz w:val="20"/>
        </w:rPr>
      </w:pPr>
    </w:p>
    <w:p w14:paraId="33582F7A" w14:textId="77777777" w:rsidR="00774CDE" w:rsidRDefault="00774CDE">
      <w:pPr>
        <w:pStyle w:val="DefaultText"/>
        <w:tabs>
          <w:tab w:val="left" w:pos="540"/>
        </w:tabs>
        <w:ind w:left="540" w:hanging="540"/>
        <w:rPr>
          <w:rFonts w:ascii="Arial" w:hAnsi="Arial" w:cs="Arial"/>
          <w:sz w:val="20"/>
        </w:rPr>
      </w:pPr>
      <w:r>
        <w:rPr>
          <w:rFonts w:ascii="Arial" w:hAnsi="Arial" w:cs="Arial"/>
          <w:sz w:val="20"/>
        </w:rPr>
        <w:t>1)</w:t>
      </w:r>
      <w:r>
        <w:rPr>
          <w:rFonts w:ascii="Arial" w:hAnsi="Arial" w:cs="Arial"/>
          <w:sz w:val="20"/>
        </w:rPr>
        <w:tab/>
        <w:t>These files represent the most current revision level to date.  Your current</w:t>
      </w:r>
      <w:r>
        <w:rPr>
          <w:rFonts w:ascii="Arial" w:hAnsi="Arial" w:cs="Arial"/>
          <w:sz w:val="20"/>
        </w:rPr>
        <w:tab/>
        <w:t>product inventory could contain a previous revision level of this procedure.</w:t>
      </w:r>
    </w:p>
    <w:p w14:paraId="5922237A" w14:textId="77777777" w:rsidR="00774CDE" w:rsidRDefault="00774CDE">
      <w:pPr>
        <w:pStyle w:val="DefaultText"/>
        <w:tabs>
          <w:tab w:val="left" w:pos="540"/>
          <w:tab w:val="left" w:pos="630"/>
        </w:tabs>
        <w:rPr>
          <w:rFonts w:ascii="Arial" w:hAnsi="Arial" w:cs="Arial"/>
          <w:sz w:val="20"/>
        </w:rPr>
      </w:pPr>
    </w:p>
    <w:p w14:paraId="0DB7D617" w14:textId="77777777" w:rsidR="00774CDE" w:rsidRDefault="00774CDE">
      <w:pPr>
        <w:pStyle w:val="DefaultText"/>
        <w:tabs>
          <w:tab w:val="left" w:pos="540"/>
        </w:tabs>
        <w:ind w:left="540" w:hanging="540"/>
        <w:rPr>
          <w:rFonts w:ascii="Arial" w:hAnsi="Arial" w:cs="Arial"/>
          <w:sz w:val="20"/>
        </w:rPr>
      </w:pPr>
      <w:r>
        <w:rPr>
          <w:rFonts w:ascii="Arial" w:hAnsi="Arial" w:cs="Arial"/>
          <w:sz w:val="20"/>
        </w:rPr>
        <w:t>2)</w:t>
      </w:r>
      <w:r>
        <w:rPr>
          <w:rFonts w:ascii="Arial" w:hAnsi="Arial" w:cs="Arial"/>
          <w:sz w:val="20"/>
        </w:rPr>
        <w:tab/>
        <w:t>The Microsoft Word document provides the text only from the master procedure, in a single-column format.</w:t>
      </w:r>
    </w:p>
    <w:p w14:paraId="609CF0DE" w14:textId="77777777" w:rsidR="00774CDE" w:rsidRDefault="00774CDE">
      <w:pPr>
        <w:pStyle w:val="DefaultText"/>
        <w:tabs>
          <w:tab w:val="left" w:pos="540"/>
          <w:tab w:val="left" w:pos="630"/>
        </w:tabs>
        <w:rPr>
          <w:rFonts w:ascii="Arial" w:hAnsi="Arial" w:cs="Arial"/>
          <w:sz w:val="20"/>
        </w:rPr>
      </w:pPr>
    </w:p>
    <w:p w14:paraId="7FD15D8B"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It may not contain any illustrations, graphics or captions that may be part of the master procedure included in the kit.</w:t>
      </w:r>
    </w:p>
    <w:p w14:paraId="1DFEA917" w14:textId="77777777" w:rsidR="00774CDE" w:rsidRDefault="00774CDE">
      <w:pPr>
        <w:pStyle w:val="DefaultText"/>
        <w:tabs>
          <w:tab w:val="left" w:pos="540"/>
          <w:tab w:val="left" w:pos="630"/>
          <w:tab w:val="left" w:pos="1080"/>
        </w:tabs>
        <w:rPr>
          <w:rFonts w:ascii="Arial" w:hAnsi="Arial" w:cs="Arial"/>
          <w:sz w:val="20"/>
        </w:rPr>
      </w:pPr>
    </w:p>
    <w:p w14:paraId="4DA99A1E"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7E8A44AA" w14:textId="77777777" w:rsidR="00774CDE" w:rsidRDefault="00774CDE">
      <w:pPr>
        <w:pStyle w:val="DefaultText"/>
        <w:tabs>
          <w:tab w:val="left" w:pos="540"/>
          <w:tab w:val="left" w:pos="630"/>
        </w:tabs>
        <w:rPr>
          <w:rFonts w:ascii="Arial" w:hAnsi="Arial" w:cs="Arial"/>
          <w:sz w:val="20"/>
        </w:rPr>
      </w:pPr>
    </w:p>
    <w:p w14:paraId="197930CF"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The master procedures may also contain columns of tabbed data.  Tab settings may or may not be displayed properly on your desktop.</w:t>
      </w:r>
    </w:p>
    <w:p w14:paraId="59524333" w14:textId="77777777" w:rsidR="00774CDE" w:rsidRDefault="00774CDE">
      <w:pPr>
        <w:pStyle w:val="DefaultText"/>
        <w:tabs>
          <w:tab w:val="left" w:pos="540"/>
          <w:tab w:val="left" w:pos="630"/>
          <w:tab w:val="left" w:pos="1080"/>
        </w:tabs>
        <w:ind w:left="630"/>
        <w:rPr>
          <w:rFonts w:ascii="Arial" w:hAnsi="Arial" w:cs="Arial"/>
          <w:sz w:val="20"/>
        </w:rPr>
      </w:pPr>
    </w:p>
    <w:p w14:paraId="43E8D8BD" w14:textId="77777777" w:rsidR="00774CDE" w:rsidRDefault="00774CDE">
      <w:pPr>
        <w:pStyle w:val="DefaultText"/>
        <w:tabs>
          <w:tab w:val="left" w:pos="540"/>
        </w:tabs>
        <w:ind w:left="540" w:hanging="540"/>
        <w:rPr>
          <w:rFonts w:ascii="Arial" w:hAnsi="Arial" w:cs="Arial"/>
          <w:sz w:val="20"/>
        </w:rPr>
      </w:pPr>
      <w:r>
        <w:rPr>
          <w:rFonts w:ascii="Arial" w:hAnsi="Arial" w:cs="Arial"/>
          <w:sz w:val="20"/>
        </w:rPr>
        <w:t>3)</w:t>
      </w:r>
      <w:r>
        <w:rPr>
          <w:rFonts w:ascii="Arial" w:hAnsi="Arial" w:cs="Arial"/>
          <w:sz w:val="20"/>
        </w:rPr>
        <w:tab/>
        <w:t>The Adobe Acrobat PDF file provides a snapshot of the master procedure in a printable 8.5 x 11” format.  It is provided to serve as a reference for accuracy.</w:t>
      </w:r>
    </w:p>
    <w:p w14:paraId="56CFA300" w14:textId="77777777" w:rsidR="00774CDE" w:rsidRDefault="00774CDE">
      <w:pPr>
        <w:pStyle w:val="DefaultText"/>
        <w:tabs>
          <w:tab w:val="left" w:pos="540"/>
        </w:tabs>
        <w:rPr>
          <w:rFonts w:ascii="Arial" w:hAnsi="Arial" w:cs="Arial"/>
          <w:sz w:val="20"/>
        </w:rPr>
      </w:pPr>
    </w:p>
    <w:p w14:paraId="76AD16C1" w14:textId="77777777" w:rsidR="00774CDE" w:rsidRDefault="00774CDE">
      <w:pPr>
        <w:pStyle w:val="DefaultText"/>
        <w:tabs>
          <w:tab w:val="left" w:pos="540"/>
          <w:tab w:val="left" w:pos="1080"/>
        </w:tabs>
        <w:ind w:left="540" w:hanging="540"/>
        <w:rPr>
          <w:rFonts w:ascii="Arial" w:hAnsi="Arial" w:cs="Arial"/>
          <w:sz w:val="20"/>
        </w:rPr>
      </w:pPr>
      <w:r>
        <w:rPr>
          <w:rFonts w:ascii="Arial" w:hAnsi="Arial" w:cs="Arial"/>
          <w:sz w:val="20"/>
        </w:rPr>
        <w:t>4)</w:t>
      </w:r>
      <w:r>
        <w:rPr>
          <w:rFonts w:ascii="Arial" w:hAnsi="Arial" w:cs="Arial"/>
          <w:sz w:val="20"/>
        </w:rPr>
        <w:tab/>
        <w:t>By downloading this procedure, your institution is assuming responsibility for modification and usage.</w:t>
      </w:r>
    </w:p>
    <w:p w14:paraId="694EEF8F" w14:textId="77777777" w:rsidR="00774CDE" w:rsidRDefault="00774CDE">
      <w:pPr>
        <w:pStyle w:val="DefaultText"/>
        <w:tabs>
          <w:tab w:val="left" w:pos="630"/>
          <w:tab w:val="left" w:pos="1080"/>
        </w:tabs>
        <w:rPr>
          <w:rFonts w:ascii="Arial" w:hAnsi="Arial" w:cs="Arial"/>
          <w:b/>
          <w:bCs/>
          <w:sz w:val="20"/>
        </w:rPr>
      </w:pPr>
      <w:r>
        <w:rPr>
          <w:rFonts w:ascii="Arial" w:hAnsi="Arial" w:cs="Arial"/>
          <w:sz w:val="20"/>
        </w:rPr>
        <w:br w:type="page"/>
      </w:r>
      <w:r>
        <w:rPr>
          <w:rFonts w:ascii="Arial" w:hAnsi="Arial" w:cs="Arial"/>
          <w:b/>
          <w:bCs/>
          <w:sz w:val="22"/>
        </w:rPr>
        <w:lastRenderedPageBreak/>
        <w:t>HELENA LABORATORIES</w:t>
      </w:r>
    </w:p>
    <w:p w14:paraId="14492E1F" w14:textId="77777777" w:rsidR="00774CDE" w:rsidRDefault="00774CDE">
      <w:pPr>
        <w:pStyle w:val="DefaultText"/>
        <w:rPr>
          <w:rFonts w:ascii="Arial" w:hAnsi="Arial" w:cs="Arial"/>
          <w:b/>
          <w:bCs/>
          <w:sz w:val="22"/>
        </w:rPr>
      </w:pPr>
      <w:r>
        <w:rPr>
          <w:rFonts w:ascii="Arial" w:hAnsi="Arial" w:cs="Arial"/>
          <w:b/>
          <w:bCs/>
          <w:sz w:val="22"/>
        </w:rPr>
        <w:t>PROCEDURE DOWNLOAD END USER AGREEMENT</w:t>
      </w:r>
    </w:p>
    <w:p w14:paraId="567B27B0" w14:textId="77777777" w:rsidR="00774CDE" w:rsidRDefault="00774CDE">
      <w:pPr>
        <w:pStyle w:val="DefaultText"/>
        <w:rPr>
          <w:rFonts w:ascii="Arial" w:hAnsi="Arial" w:cs="Arial"/>
          <w:sz w:val="22"/>
        </w:rPr>
      </w:pPr>
    </w:p>
    <w:p w14:paraId="4DAE6F44" w14:textId="77777777" w:rsidR="00774CDE" w:rsidRDefault="00774CDE">
      <w:pPr>
        <w:pStyle w:val="DefaultText"/>
        <w:tabs>
          <w:tab w:val="left" w:pos="630"/>
          <w:tab w:val="left" w:pos="1080"/>
        </w:tabs>
        <w:rPr>
          <w:rFonts w:ascii="Arial" w:hAnsi="Arial" w:cs="Arial"/>
          <w:sz w:val="22"/>
        </w:rPr>
      </w:pPr>
    </w:p>
    <w:p w14:paraId="37EF65DC" w14:textId="77777777" w:rsidR="00774CDE" w:rsidRDefault="00774CDE">
      <w:pPr>
        <w:pStyle w:val="DefaultText"/>
        <w:tabs>
          <w:tab w:val="left" w:pos="630"/>
          <w:tab w:val="left" w:pos="1080"/>
        </w:tabs>
        <w:rPr>
          <w:rFonts w:ascii="Arial" w:hAnsi="Arial" w:cs="Arial"/>
          <w:sz w:val="22"/>
        </w:rPr>
      </w:pPr>
    </w:p>
    <w:p w14:paraId="762380CF" w14:textId="77777777" w:rsidR="00774CDE" w:rsidRDefault="00774CDE">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4B1187E0" w14:textId="77777777" w:rsidR="00774CDE" w:rsidRDefault="00774CDE">
      <w:pPr>
        <w:pStyle w:val="DefaultText"/>
        <w:tabs>
          <w:tab w:val="left" w:pos="630"/>
          <w:tab w:val="left" w:pos="1080"/>
        </w:tabs>
        <w:rPr>
          <w:rFonts w:ascii="Arial" w:hAnsi="Arial" w:cs="Arial"/>
          <w:sz w:val="22"/>
        </w:rPr>
      </w:pPr>
    </w:p>
    <w:p w14:paraId="7A966DD2" w14:textId="77777777" w:rsidR="00774CDE" w:rsidRDefault="00774CDE">
      <w:pPr>
        <w:pStyle w:val="DefaultText"/>
        <w:tabs>
          <w:tab w:val="left" w:pos="630"/>
          <w:tab w:val="left" w:pos="1080"/>
        </w:tabs>
        <w:rPr>
          <w:rFonts w:ascii="Arial" w:hAnsi="Arial" w:cs="Arial"/>
          <w:sz w:val="22"/>
        </w:rPr>
      </w:pPr>
    </w:p>
    <w:p w14:paraId="77FFFC22" w14:textId="77777777" w:rsidR="00774CDE" w:rsidRDefault="00774CDE">
      <w:pPr>
        <w:pStyle w:val="DefaultText"/>
        <w:tabs>
          <w:tab w:val="left" w:pos="630"/>
          <w:tab w:val="left" w:pos="1080"/>
        </w:tabs>
        <w:rPr>
          <w:rFonts w:ascii="Arial" w:hAnsi="Arial" w:cs="Arial"/>
        </w:rPr>
      </w:pPr>
    </w:p>
    <w:p w14:paraId="3278A574"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PRODUCT {Test} NAME</w:t>
      </w:r>
    </w:p>
    <w:p w14:paraId="59702BC8"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INTENDED USE and TEST TYPE (qualitative or qualitative)</w:t>
      </w:r>
    </w:p>
    <w:p w14:paraId="3F4C6CED"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SUMMARY AND EXPLANATION</w:t>
      </w:r>
    </w:p>
    <w:p w14:paraId="71FB8EB2"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PRINCIPLES OF THE PROCEDURE</w:t>
      </w:r>
    </w:p>
    <w:p w14:paraId="5A9E3142" w14:textId="77777777" w:rsidR="00774CDE" w:rsidRDefault="00774CDE">
      <w:pPr>
        <w:pStyle w:val="DefaultText"/>
        <w:tabs>
          <w:tab w:val="left" w:pos="630"/>
          <w:tab w:val="left" w:pos="1080"/>
        </w:tabs>
        <w:rPr>
          <w:rFonts w:ascii="Arial" w:hAnsi="Arial" w:cs="Arial"/>
          <w:i/>
          <w:iCs/>
          <w:sz w:val="20"/>
        </w:rPr>
      </w:pPr>
      <w:r>
        <w:rPr>
          <w:rFonts w:ascii="Arial" w:hAnsi="Arial" w:cs="Arial"/>
          <w:sz w:val="20"/>
        </w:rPr>
        <w:tab/>
        <w:t xml:space="preserve">  {</w:t>
      </w:r>
      <w:r>
        <w:rPr>
          <w:rFonts w:ascii="Arial" w:hAnsi="Arial" w:cs="Arial"/>
          <w:i/>
          <w:iCs/>
          <w:sz w:val="20"/>
        </w:rPr>
        <w:t>NCCLS lists SAMPLE COLLECTION/HANDLING next}</w:t>
      </w:r>
    </w:p>
    <w:p w14:paraId="01D48EB7"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REAGENTS (name/concentration; warnings/precautions; preparation; storage; environment; Purification/treatment; indications of instability)</w:t>
      </w:r>
    </w:p>
    <w:p w14:paraId="5273BEDF"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3D6E5A4A"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SAMPLE COLLECTION/HANDLING</w:t>
      </w:r>
    </w:p>
    <w:p w14:paraId="4D8A9B3A"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PROCEDURE</w:t>
      </w:r>
    </w:p>
    <w:p w14:paraId="5971F1CF" w14:textId="77777777" w:rsidR="00774CDE" w:rsidRDefault="00774CDE">
      <w:pPr>
        <w:pStyle w:val="DefaultText"/>
        <w:tabs>
          <w:tab w:val="left" w:pos="630"/>
          <w:tab w:val="left" w:pos="1080"/>
        </w:tabs>
        <w:rPr>
          <w:rFonts w:ascii="Arial" w:hAnsi="Arial" w:cs="Arial"/>
          <w:sz w:val="20"/>
        </w:rPr>
      </w:pPr>
      <w:r>
        <w:rPr>
          <w:rFonts w:ascii="Arial" w:hAnsi="Arial" w:cs="Arial"/>
          <w:sz w:val="20"/>
        </w:rPr>
        <w:tab/>
        <w:t xml:space="preserve">  {</w:t>
      </w:r>
      <w:r>
        <w:rPr>
          <w:rFonts w:ascii="Arial" w:hAnsi="Arial" w:cs="Arial"/>
          <w:i/>
          <w:iCs/>
          <w:sz w:val="20"/>
        </w:rPr>
        <w:t>NCCLS lists QUALITY CONTROL (QC) next}</w:t>
      </w:r>
    </w:p>
    <w:p w14:paraId="03568811" w14:textId="77777777" w:rsidR="00774CDE" w:rsidRDefault="00774CDE">
      <w:pPr>
        <w:pStyle w:val="DefaultText"/>
        <w:tabs>
          <w:tab w:val="left" w:pos="630"/>
          <w:tab w:val="left" w:pos="1080"/>
        </w:tabs>
        <w:rPr>
          <w:rFonts w:ascii="Arial" w:hAnsi="Arial" w:cs="Arial"/>
          <w:sz w:val="20"/>
        </w:rPr>
      </w:pPr>
      <w:r>
        <w:rPr>
          <w:rFonts w:ascii="Arial" w:hAnsi="Arial" w:cs="Arial"/>
          <w:sz w:val="20"/>
        </w:rPr>
        <w:t xml:space="preserve"> 9)  RESULTS (calculations, as applicable; etc.)</w:t>
      </w:r>
    </w:p>
    <w:p w14:paraId="29AE9CF0" w14:textId="77777777" w:rsidR="00774CDE" w:rsidRDefault="00774CDE">
      <w:pPr>
        <w:pStyle w:val="DefaultText"/>
        <w:tabs>
          <w:tab w:val="left" w:pos="630"/>
          <w:tab w:val="left" w:pos="1080"/>
        </w:tabs>
        <w:rPr>
          <w:rFonts w:ascii="Arial" w:hAnsi="Arial" w:cs="Arial"/>
          <w:sz w:val="20"/>
        </w:rPr>
      </w:pPr>
      <w:r>
        <w:rPr>
          <w:rFonts w:ascii="Arial" w:hAnsi="Arial" w:cs="Arial"/>
          <w:sz w:val="20"/>
        </w:rPr>
        <w:t>10)  LIMITATIONS/NOTES/INTERFERENCES</w:t>
      </w:r>
    </w:p>
    <w:p w14:paraId="2AC775D6" w14:textId="77777777" w:rsidR="00774CDE" w:rsidRDefault="00774CDE">
      <w:pPr>
        <w:pStyle w:val="DefaultText"/>
        <w:tabs>
          <w:tab w:val="left" w:pos="630"/>
          <w:tab w:val="left" w:pos="1080"/>
        </w:tabs>
        <w:rPr>
          <w:rFonts w:ascii="Arial" w:hAnsi="Arial" w:cs="Arial"/>
          <w:sz w:val="20"/>
        </w:rPr>
      </w:pPr>
      <w:r>
        <w:rPr>
          <w:rFonts w:ascii="Arial" w:hAnsi="Arial" w:cs="Arial"/>
          <w:sz w:val="20"/>
        </w:rPr>
        <w:t>11)  EXPECTED VALUES</w:t>
      </w:r>
    </w:p>
    <w:p w14:paraId="410053A1" w14:textId="77777777" w:rsidR="00774CDE" w:rsidRDefault="00774CDE">
      <w:pPr>
        <w:pStyle w:val="DefaultText"/>
        <w:tabs>
          <w:tab w:val="left" w:pos="630"/>
          <w:tab w:val="left" w:pos="1080"/>
        </w:tabs>
        <w:rPr>
          <w:rFonts w:ascii="Arial" w:hAnsi="Arial" w:cs="Arial"/>
          <w:sz w:val="20"/>
        </w:rPr>
      </w:pPr>
      <w:r>
        <w:rPr>
          <w:rFonts w:ascii="Arial" w:hAnsi="Arial" w:cs="Arial"/>
          <w:sz w:val="20"/>
        </w:rPr>
        <w:t>12)  PERFORMANCE CHARACTERISTCS</w:t>
      </w:r>
    </w:p>
    <w:p w14:paraId="44952CDE" w14:textId="77777777" w:rsidR="00774CDE" w:rsidRDefault="00774CDE">
      <w:pPr>
        <w:pStyle w:val="DefaultText"/>
        <w:tabs>
          <w:tab w:val="left" w:pos="630"/>
          <w:tab w:val="left" w:pos="1080"/>
        </w:tabs>
        <w:rPr>
          <w:rFonts w:ascii="Arial" w:hAnsi="Arial" w:cs="Arial"/>
          <w:sz w:val="20"/>
        </w:rPr>
      </w:pPr>
      <w:r>
        <w:rPr>
          <w:rFonts w:ascii="Arial" w:hAnsi="Arial" w:cs="Arial"/>
          <w:sz w:val="20"/>
        </w:rPr>
        <w:t>13)  BIBLIOGRAPHY (of pertinent references)</w:t>
      </w:r>
    </w:p>
    <w:p w14:paraId="29E71146" w14:textId="77777777" w:rsidR="00774CDE" w:rsidRDefault="00774CDE">
      <w:pPr>
        <w:pStyle w:val="DefaultText"/>
        <w:tabs>
          <w:tab w:val="left" w:pos="630"/>
          <w:tab w:val="left" w:pos="1080"/>
        </w:tabs>
        <w:rPr>
          <w:rFonts w:ascii="Arial" w:hAnsi="Arial" w:cs="Arial"/>
          <w:sz w:val="20"/>
        </w:rPr>
      </w:pPr>
      <w:r>
        <w:rPr>
          <w:rFonts w:ascii="Arial" w:hAnsi="Arial" w:cs="Arial"/>
          <w:sz w:val="20"/>
        </w:rPr>
        <w:t>14)  NAME AND PLACE OF BUSINESS OF MANUFACTURER</w:t>
      </w:r>
    </w:p>
    <w:p w14:paraId="208E6EFE" w14:textId="77777777" w:rsidR="00774CDE" w:rsidRDefault="00774CDE">
      <w:pPr>
        <w:pStyle w:val="DefaultText"/>
        <w:tabs>
          <w:tab w:val="left" w:pos="630"/>
          <w:tab w:val="left" w:pos="1080"/>
        </w:tabs>
        <w:rPr>
          <w:rFonts w:ascii="Arial" w:hAnsi="Arial" w:cs="Arial"/>
          <w:sz w:val="20"/>
        </w:rPr>
      </w:pPr>
      <w:r>
        <w:rPr>
          <w:rFonts w:ascii="Arial" w:hAnsi="Arial" w:cs="Arial"/>
          <w:sz w:val="20"/>
        </w:rPr>
        <w:t>15)  DATE OF ISSUANCE OF LABELING (instructions)</w:t>
      </w:r>
    </w:p>
    <w:p w14:paraId="1344C178" w14:textId="77777777" w:rsidR="00774CDE" w:rsidRDefault="00774CDE">
      <w:pPr>
        <w:pStyle w:val="DefaultText"/>
        <w:tabs>
          <w:tab w:val="left" w:pos="630"/>
          <w:tab w:val="left" w:pos="1080"/>
        </w:tabs>
        <w:rPr>
          <w:rFonts w:ascii="Arial" w:hAnsi="Arial" w:cs="Arial"/>
          <w:sz w:val="20"/>
        </w:rPr>
      </w:pPr>
    </w:p>
    <w:p w14:paraId="4FBEDF1A" w14:textId="77777777" w:rsidR="00774CDE" w:rsidRDefault="00774CDE">
      <w:pPr>
        <w:pStyle w:val="DefaultText"/>
        <w:tabs>
          <w:tab w:val="left" w:pos="630"/>
          <w:tab w:val="left" w:pos="1080"/>
        </w:tabs>
        <w:jc w:val="center"/>
        <w:rPr>
          <w:rFonts w:ascii="Arial" w:hAnsi="Arial" w:cs="Arial"/>
          <w:sz w:val="20"/>
        </w:rPr>
      </w:pPr>
      <w:r>
        <w:rPr>
          <w:rFonts w:ascii="Arial" w:hAnsi="Arial" w:cs="Arial"/>
          <w:sz w:val="20"/>
        </w:rPr>
        <w:t xml:space="preserve">For Sales, Technical and Order Information, and Service Assistance, </w:t>
      </w:r>
      <w:r>
        <w:rPr>
          <w:rFonts w:ascii="Arial" w:hAnsi="Arial" w:cs="Arial"/>
          <w:sz w:val="20"/>
        </w:rPr>
        <w:br/>
        <w:t>call Helena Laboratories toll free at 1-800-231-5663.</w:t>
      </w:r>
    </w:p>
    <w:p w14:paraId="6881BF5C" w14:textId="77777777" w:rsidR="00774CDE" w:rsidRDefault="00774CDE">
      <w:pPr>
        <w:pStyle w:val="DefaultText"/>
        <w:tabs>
          <w:tab w:val="left" w:pos="630"/>
          <w:tab w:val="left" w:pos="1080"/>
        </w:tabs>
        <w:rPr>
          <w:rFonts w:ascii="Arial" w:hAnsi="Arial" w:cs="Arial"/>
          <w:sz w:val="20"/>
        </w:rPr>
      </w:pPr>
    </w:p>
    <w:p w14:paraId="5497213C" w14:textId="77777777" w:rsidR="00774CDE" w:rsidRDefault="00774CDE">
      <w:pPr>
        <w:pStyle w:val="DefaultText"/>
        <w:tabs>
          <w:tab w:val="left" w:pos="630"/>
          <w:tab w:val="left" w:pos="1080"/>
        </w:tabs>
        <w:rPr>
          <w:rFonts w:ascii="Arial" w:hAnsi="Arial" w:cs="Arial"/>
          <w:sz w:val="20"/>
        </w:rPr>
      </w:pPr>
    </w:p>
    <w:p w14:paraId="44E2DB74" w14:textId="77777777" w:rsidR="00774CDE" w:rsidRDefault="00774CDE">
      <w:pPr>
        <w:pStyle w:val="DefaultText"/>
        <w:tabs>
          <w:tab w:val="left" w:pos="630"/>
          <w:tab w:val="left" w:pos="1080"/>
        </w:tabs>
        <w:rPr>
          <w:rFonts w:ascii="Arial" w:hAnsi="Arial" w:cs="Arial"/>
          <w:sz w:val="20"/>
        </w:rPr>
      </w:pPr>
    </w:p>
    <w:p w14:paraId="4E09D71E" w14:textId="77777777" w:rsidR="00774CDE" w:rsidRDefault="00774CDE">
      <w:pPr>
        <w:pStyle w:val="DefaultText"/>
        <w:tabs>
          <w:tab w:val="left" w:pos="630"/>
          <w:tab w:val="left" w:pos="1080"/>
        </w:tabs>
        <w:rPr>
          <w:rFonts w:ascii="Arial" w:hAnsi="Arial" w:cs="Arial"/>
          <w:sz w:val="20"/>
        </w:rPr>
      </w:pPr>
      <w:r>
        <w:rPr>
          <w:rFonts w:ascii="Arial" w:hAnsi="Arial" w:cs="Arial"/>
          <w:sz w:val="20"/>
        </w:rPr>
        <w:t>Form 364</w:t>
      </w:r>
    </w:p>
    <w:p w14:paraId="6A8E7BE7" w14:textId="77777777" w:rsidR="00774CDE" w:rsidRDefault="00774CDE">
      <w:pPr>
        <w:pStyle w:val="DefaultText"/>
        <w:tabs>
          <w:tab w:val="left" w:pos="630"/>
          <w:tab w:val="left" w:pos="1080"/>
        </w:tabs>
        <w:rPr>
          <w:rFonts w:ascii="Arial" w:hAnsi="Arial" w:cs="Arial"/>
          <w:sz w:val="20"/>
        </w:rPr>
      </w:pPr>
      <w:r>
        <w:rPr>
          <w:rFonts w:ascii="Arial" w:hAnsi="Arial" w:cs="Arial"/>
          <w:sz w:val="20"/>
        </w:rPr>
        <w:t>Helena Laboratories</w:t>
      </w:r>
    </w:p>
    <w:p w14:paraId="77343D3C" w14:textId="77777777" w:rsidR="00774CDE" w:rsidRDefault="00774CDE">
      <w:pPr>
        <w:pStyle w:val="DefaultText"/>
        <w:tabs>
          <w:tab w:val="left" w:pos="630"/>
          <w:tab w:val="left" w:pos="1080"/>
        </w:tabs>
        <w:rPr>
          <w:rFonts w:ascii="Arial" w:hAnsi="Arial" w:cs="Arial"/>
          <w:sz w:val="20"/>
        </w:rPr>
      </w:pPr>
      <w:r>
        <w:rPr>
          <w:rFonts w:ascii="Arial" w:hAnsi="Arial" w:cs="Arial"/>
          <w:sz w:val="20"/>
        </w:rPr>
        <w:t>1/2006 (Rev 3)</w:t>
      </w:r>
    </w:p>
    <w:p w14:paraId="2A1E0B5A" w14:textId="77777777" w:rsidR="00774CDE" w:rsidRDefault="00774CDE">
      <w:pPr>
        <w:pStyle w:val="DefaultText"/>
        <w:tabs>
          <w:tab w:val="left" w:pos="630"/>
          <w:tab w:val="left" w:pos="1080"/>
        </w:tabs>
        <w:rPr>
          <w:rFonts w:ascii="Arial" w:hAnsi="Arial" w:cs="Arial"/>
          <w:sz w:val="20"/>
        </w:rPr>
      </w:pPr>
      <w:r>
        <w:rPr>
          <w:rFonts w:ascii="Arial" w:hAnsi="Arial" w:cs="Arial"/>
          <w:sz w:val="20"/>
        </w:rPr>
        <w:br w:type="page"/>
      </w:r>
    </w:p>
    <w:p w14:paraId="5DA64C8B" w14:textId="77777777" w:rsidR="00774CDE" w:rsidRPr="00FC7B55" w:rsidRDefault="00774CDE">
      <w:pPr>
        <w:pStyle w:val="CM1"/>
        <w:jc w:val="both"/>
        <w:rPr>
          <w:rFonts w:ascii="Arial MT Std" w:hAnsi="Arial MT Std"/>
          <w:color w:val="000000"/>
          <w:sz w:val="16"/>
        </w:rPr>
      </w:pPr>
      <w:r w:rsidRPr="00FC7B55">
        <w:rPr>
          <w:rFonts w:ascii="Arial MT Std" w:hAnsi="Arial MT Std"/>
          <w:color w:val="000000"/>
          <w:sz w:val="16"/>
        </w:rPr>
        <w:lastRenderedPageBreak/>
        <w:t xml:space="preserve">English </w:t>
      </w:r>
    </w:p>
    <w:p w14:paraId="4FD349F6" w14:textId="78F57F86" w:rsidR="00774CDE" w:rsidRPr="00FC7B55" w:rsidRDefault="00774CDE" w:rsidP="007D1954">
      <w:pPr>
        <w:pStyle w:val="CM19"/>
        <w:spacing w:after="120" w:line="263" w:lineRule="atLeast"/>
        <w:rPr>
          <w:rFonts w:ascii="Arial MT Std" w:hAnsi="Arial MT Std"/>
          <w:b/>
          <w:bCs/>
          <w:color w:val="000000"/>
        </w:rPr>
      </w:pPr>
      <w:r w:rsidRPr="00FC7B55">
        <w:rPr>
          <w:rFonts w:ascii="Arial MT Std" w:hAnsi="Arial MT Std"/>
          <w:b/>
          <w:bCs/>
          <w:color w:val="000000"/>
        </w:rPr>
        <w:t>PLATELETWORKS</w:t>
      </w:r>
      <w:r w:rsidRPr="00FC7B55">
        <w:rPr>
          <w:rFonts w:ascii="Arial MT Std" w:hAnsi="Arial MT Std"/>
          <w:b/>
          <w:bCs/>
          <w:color w:val="000000"/>
          <w:position w:val="9"/>
          <w:sz w:val="16"/>
          <w:vertAlign w:val="superscript"/>
        </w:rPr>
        <w:t xml:space="preserve">® </w:t>
      </w:r>
      <w:r w:rsidRPr="00FC7B55">
        <w:rPr>
          <w:rFonts w:ascii="Arial MT Std" w:hAnsi="Arial MT Std"/>
          <w:b/>
          <w:bCs/>
          <w:color w:val="000000"/>
        </w:rPr>
        <w:t xml:space="preserve">ADP and Collagen </w:t>
      </w:r>
      <w:r w:rsidRPr="00FC7B55">
        <w:rPr>
          <w:rFonts w:ascii="Arial MT Std" w:hAnsi="Arial MT Std"/>
          <w:b/>
          <w:bCs/>
          <w:color w:val="000000"/>
        </w:rPr>
        <w:br/>
      </w:r>
      <w:r w:rsidR="007D1954" w:rsidRPr="00FC7B55">
        <w:rPr>
          <w:rFonts w:ascii="Arial MT Std" w:hAnsi="Arial MT Std"/>
          <w:b/>
          <w:bCs/>
          <w:color w:val="000000"/>
        </w:rPr>
        <w:t>Cat. No. 5860, 5862, 5850, 5852, 5854</w:t>
      </w:r>
    </w:p>
    <w:p w14:paraId="7D2A2C6A" w14:textId="316F8B55" w:rsidR="0032432B" w:rsidRPr="0032432B" w:rsidRDefault="0032432B" w:rsidP="0032432B">
      <w:pPr>
        <w:pStyle w:val="Default"/>
      </w:pPr>
      <w:r w:rsidRPr="0032432B">
        <w:rPr>
          <w:noProof/>
        </w:rPr>
        <w:drawing>
          <wp:inline distT="0" distB="0" distL="0" distR="0" wp14:anchorId="1F410B3B" wp14:editId="1D5897A0">
            <wp:extent cx="3429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2900" cy="469900"/>
                    </a:xfrm>
                    <a:prstGeom prst="rect">
                      <a:avLst/>
                    </a:prstGeom>
                  </pic:spPr>
                </pic:pic>
              </a:graphicData>
            </a:graphic>
          </wp:inline>
        </w:drawing>
      </w:r>
    </w:p>
    <w:p w14:paraId="05B0C61F" w14:textId="77777777" w:rsid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p>
    <w:p w14:paraId="008BD65D" w14:textId="2C1A3D5C"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z w:val="12"/>
          <w:szCs w:val="12"/>
        </w:rPr>
        <w:t xml:space="preserve">INTENDED USE </w:t>
      </w:r>
    </w:p>
    <w:p w14:paraId="0FAB6443"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is an in vitro diagnostic screening assay for the determination of % platelet aggregation or % platelet inhibition in fresh whole blood. The samples may be taken during cardiac interventional procedures or other surgical or treatment settings facing similar risks from thrombosis.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may also be used when there are general concerns about the effects of drug therapies on platelet function. The change in platelet count due to activation and aggregation of functional platelets is measured using an electronic impedance-based cell counter.</w:t>
      </w:r>
    </w:p>
    <w:p w14:paraId="3D3213D7"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SUMMARY</w:t>
      </w:r>
    </w:p>
    <w:p w14:paraId="452FF89B"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The anucleate, multifunctional platelet circulates as a cellular component of the blood and provides the first line of defense against bleeding. Subsequent to vasculature injury, platelets adhere to collagen that becomes exposed as a result of endothelial disruption. They then undergo a radical shape change and release adenosine diphosphate (ADP), a physiological agonist which activates additional platelets. Ultimately, a primary hemostatic plug is formed due to the cyclic and self-perpetual stimulation of platelets as they aggregate, release other agonists, and interact with the proteins of the coagulation cascade to form a fibrin clot.</w:t>
      </w:r>
    </w:p>
    <w:p w14:paraId="5C613E34"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To determine the functionality of primary hemostasis in a given patient, platelets must be assessed in two ways: 1) by measuring the platelet count, and 2) by testing platelet function. If the platelet count is low (generally &lt; 50,000/</w:t>
      </w:r>
      <w:r w:rsidRPr="00FC7B55">
        <w:rPr>
          <w:rFonts w:ascii="Symbol" w:hAnsi="Symbol" w:cs="Symbol"/>
          <w:color w:val="000000"/>
          <w:spacing w:val="-1"/>
          <w:sz w:val="12"/>
          <w:szCs w:val="12"/>
        </w:rPr>
        <w:t>m</w:t>
      </w:r>
      <w:r w:rsidRPr="00FC7B55">
        <w:rPr>
          <w:rFonts w:ascii="Arial MT Std" w:hAnsi="Arial MT Std" w:cs="Arial MT Std"/>
          <w:color w:val="000000"/>
          <w:spacing w:val="-1"/>
          <w:sz w:val="12"/>
          <w:szCs w:val="12"/>
        </w:rPr>
        <w:t xml:space="preserve">L), the ability of the platelets to aggregate properly may be compromised. However, even with a normal platelet count, the platelets may be dysfunctional due to congenital or acquired conditions. If platelets are not aggregating normally, the outcome may be either hemorrhage or unwanted clotting. More specifically, inadequate platelet aggregation may lead to bleeding complications, and platelets that are excessively activated can potentially initiate a thrombotic event such as myocardial infarction, ischemia, stroke, </w:t>
      </w:r>
      <w:proofErr w:type="spellStart"/>
      <w:r w:rsidRPr="00FC7B55">
        <w:rPr>
          <w:rFonts w:ascii="Arial MT Std" w:hAnsi="Arial MT Std" w:cs="Arial MT Std"/>
          <w:color w:val="000000"/>
          <w:spacing w:val="-1"/>
          <w:sz w:val="12"/>
          <w:szCs w:val="12"/>
        </w:rPr>
        <w:t>reocclusion</w:t>
      </w:r>
      <w:proofErr w:type="spellEnd"/>
      <w:r w:rsidRPr="00FC7B55">
        <w:rPr>
          <w:rFonts w:ascii="Arial MT Std" w:hAnsi="Arial MT Std" w:cs="Arial MT Std"/>
          <w:color w:val="000000"/>
          <w:spacing w:val="-1"/>
          <w:sz w:val="12"/>
          <w:szCs w:val="12"/>
        </w:rPr>
        <w:t xml:space="preserve"> following coronary angioplasty, and others.</w:t>
      </w:r>
    </w:p>
    <w:p w14:paraId="199C4050"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As a result, it may be desirable to assess platelet count and platelet aggregation or platelet inhibition in certain patient populations. In particular, these include patients undergoing cardiopulmonary bypass, coronary angioplasty, and individuals receiving drug therapies known to affect platelet aggregation. Test results obtained may be useful for pre-and post-surgical determinations for more definitive therapy. Further, platelet aggregation studies performed using multiple agonists may also be helpful in this regard.</w:t>
      </w:r>
    </w:p>
    <w:p w14:paraId="1A5BF45D"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PRINCIPLE</w:t>
      </w:r>
    </w:p>
    <w:p w14:paraId="54BA4935"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Traditional platelet aggregometry, the reference method and “gold standard” for testing platelet function, is based on the addition of platelet agonists such as collagen, ADP and others to a blood sample (usually platelet rich plasma). Platelet aggregation may be assessed using these agonists, individually and/or as a panel, as part of the diagnostic intervention into various conditions of congenital and acquired platelet dysfunction. The chart below represents what the different agonist results suggest at baseline.</w:t>
      </w:r>
      <w:r w:rsidRPr="00FC7B55">
        <w:rPr>
          <w:rFonts w:ascii="Arial MT Std" w:hAnsi="Arial MT Std" w:cs="Arial MT Std"/>
          <w:color w:val="000000"/>
          <w:spacing w:val="-1"/>
          <w:sz w:val="12"/>
          <w:szCs w:val="12"/>
          <w:vertAlign w:val="superscript"/>
        </w:rPr>
        <w:t>1</w:t>
      </w:r>
      <w:r w:rsidRPr="00FC7B55">
        <w:rPr>
          <w:rFonts w:ascii="Arial MT Std" w:hAnsi="Arial MT Std" w:cs="Arial MT Std"/>
          <w:color w:val="000000"/>
          <w:spacing w:val="-1"/>
          <w:sz w:val="12"/>
          <w:szCs w:val="12"/>
        </w:rPr>
        <w:t xml:space="preserve"> It may be beneficial for any abnormal baseline results to be further investigated using additional platelet testing methodologies such as platelet count, bleeding time, assessment of platelet morphology by electron microscopy, measurement of platelet-specific proteins indicative of platelet activation, and others. Such follow-up testing should be conducted in light of patient history, the clinical presentation, and physician discretion.</w:t>
      </w:r>
    </w:p>
    <w:p w14:paraId="099763A7" w14:textId="77777777" w:rsidR="00FC7B55" w:rsidRPr="00FC7B55" w:rsidRDefault="00FC7B55" w:rsidP="00FC7B55">
      <w:pPr>
        <w:pBdr>
          <w:bottom w:val="single" w:sz="8" w:space="1" w:color="000000"/>
        </w:pBd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pacing w:val="-3"/>
          <w:sz w:val="12"/>
          <w:szCs w:val="12"/>
        </w:rPr>
        <w:t>Condition</w:t>
      </w:r>
      <w:r w:rsidRPr="00FC7B55">
        <w:rPr>
          <w:rFonts w:ascii="Arial MT Std" w:hAnsi="Arial MT Std" w:cs="Arial MT Std"/>
          <w:b/>
          <w:bCs/>
          <w:color w:val="000000"/>
          <w:spacing w:val="-3"/>
          <w:sz w:val="12"/>
          <w:szCs w:val="12"/>
        </w:rPr>
        <w:tab/>
        <w:t>Collagen</w:t>
      </w:r>
      <w:r w:rsidRPr="00FC7B55">
        <w:rPr>
          <w:rFonts w:ascii="Arial MT Std" w:hAnsi="Arial MT Std" w:cs="Arial MT Std"/>
          <w:b/>
          <w:bCs/>
          <w:color w:val="000000"/>
          <w:spacing w:val="-3"/>
          <w:sz w:val="12"/>
          <w:szCs w:val="12"/>
        </w:rPr>
        <w:tab/>
        <w:t>ADP</w:t>
      </w:r>
    </w:p>
    <w:p w14:paraId="0FD6B8A4"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Afibrinogenemia</w:t>
      </w:r>
      <w:r w:rsidRPr="00FC7B55">
        <w:rPr>
          <w:rFonts w:ascii="Arial MT Std" w:hAnsi="Arial MT Std" w:cs="Arial MT Std"/>
          <w:color w:val="000000"/>
          <w:spacing w:val="-3"/>
          <w:sz w:val="12"/>
          <w:szCs w:val="12"/>
        </w:rPr>
        <w:tab/>
        <w:t>N</w:t>
      </w:r>
      <w:r w:rsidRPr="00FC7B55">
        <w:rPr>
          <w:rFonts w:ascii="Arial MT Std" w:hAnsi="Arial MT Std" w:cs="Arial MT Std"/>
          <w:color w:val="000000"/>
          <w:spacing w:val="-3"/>
          <w:sz w:val="12"/>
          <w:szCs w:val="12"/>
        </w:rPr>
        <w:tab/>
        <w:t>D</w:t>
      </w:r>
    </w:p>
    <w:p w14:paraId="3B761D2E"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 xml:space="preserve">Bernard </w:t>
      </w:r>
      <w:proofErr w:type="spellStart"/>
      <w:r w:rsidRPr="00FC7B55">
        <w:rPr>
          <w:rFonts w:ascii="Arial MT Std" w:hAnsi="Arial MT Std" w:cs="Arial MT Std"/>
          <w:color w:val="000000"/>
          <w:spacing w:val="-3"/>
          <w:sz w:val="12"/>
          <w:szCs w:val="12"/>
        </w:rPr>
        <w:t>Soulier</w:t>
      </w:r>
      <w:proofErr w:type="spellEnd"/>
      <w:r w:rsidRPr="00FC7B55">
        <w:rPr>
          <w:rFonts w:ascii="Arial MT Std" w:hAnsi="Arial MT Std" w:cs="Arial MT Std"/>
          <w:color w:val="000000"/>
          <w:spacing w:val="-3"/>
          <w:sz w:val="12"/>
          <w:szCs w:val="12"/>
        </w:rPr>
        <w:t xml:space="preserve"> Syndrome</w:t>
      </w:r>
      <w:r w:rsidRPr="00FC7B55">
        <w:rPr>
          <w:rFonts w:ascii="Arial MT Std" w:hAnsi="Arial MT Std" w:cs="Arial MT Std"/>
          <w:color w:val="000000"/>
          <w:spacing w:val="-3"/>
          <w:sz w:val="12"/>
          <w:szCs w:val="12"/>
        </w:rPr>
        <w:tab/>
        <w:t>N</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N</w:t>
      </w:r>
      <w:proofErr w:type="spellEnd"/>
    </w:p>
    <w:p w14:paraId="3D4A50FE"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proofErr w:type="spellStart"/>
      <w:r w:rsidRPr="00FC7B55">
        <w:rPr>
          <w:rFonts w:ascii="Arial MT Std" w:hAnsi="Arial MT Std" w:cs="Arial MT Std"/>
          <w:color w:val="000000"/>
          <w:spacing w:val="-3"/>
          <w:sz w:val="12"/>
          <w:szCs w:val="12"/>
        </w:rPr>
        <w:t>Glanzman’s</w:t>
      </w:r>
      <w:proofErr w:type="spellEnd"/>
      <w:r w:rsidRPr="00FC7B55">
        <w:rPr>
          <w:rFonts w:ascii="Arial MT Std" w:hAnsi="Arial MT Std" w:cs="Arial MT Std"/>
          <w:color w:val="000000"/>
          <w:spacing w:val="-3"/>
          <w:sz w:val="12"/>
          <w:szCs w:val="12"/>
        </w:rPr>
        <w:t xml:space="preserve"> Thrombasthenia</w:t>
      </w:r>
      <w:r w:rsidRPr="00FC7B55">
        <w:rPr>
          <w:rFonts w:ascii="Arial MT Std" w:hAnsi="Arial MT Std" w:cs="Arial MT Std"/>
          <w:color w:val="000000"/>
          <w:spacing w:val="-3"/>
          <w:sz w:val="12"/>
          <w:szCs w:val="12"/>
        </w:rPr>
        <w:tab/>
        <w:t>D</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D</w:t>
      </w:r>
      <w:proofErr w:type="spellEnd"/>
    </w:p>
    <w:p w14:paraId="6711ED99"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Aspirin Ingestion</w:t>
      </w:r>
      <w:r w:rsidRPr="00FC7B55">
        <w:rPr>
          <w:rFonts w:ascii="Arial MT Std" w:hAnsi="Arial MT Std" w:cs="Arial MT Std"/>
          <w:color w:val="000000"/>
          <w:spacing w:val="-3"/>
          <w:sz w:val="12"/>
          <w:szCs w:val="12"/>
        </w:rPr>
        <w:tab/>
        <w:t>D</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D</w:t>
      </w:r>
      <w:proofErr w:type="spellEnd"/>
    </w:p>
    <w:p w14:paraId="35D4F1CE"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von Willebrand’s Syndrome</w:t>
      </w:r>
      <w:r w:rsidRPr="00FC7B55">
        <w:rPr>
          <w:rFonts w:ascii="Arial MT Std" w:hAnsi="Arial MT Std" w:cs="Arial MT Std"/>
          <w:color w:val="000000"/>
          <w:spacing w:val="-3"/>
          <w:sz w:val="12"/>
          <w:szCs w:val="12"/>
        </w:rPr>
        <w:tab/>
        <w:t>N</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N</w:t>
      </w:r>
      <w:proofErr w:type="spellEnd"/>
    </w:p>
    <w:p w14:paraId="454D42E7" w14:textId="77777777" w:rsidR="00FC7B55" w:rsidRPr="00FC7B55" w:rsidRDefault="00FC7B55" w:rsidP="00FC7B55">
      <w:pP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Uremia</w:t>
      </w:r>
      <w:r w:rsidRPr="00FC7B55">
        <w:rPr>
          <w:rFonts w:ascii="Arial MT Std" w:hAnsi="Arial MT Std" w:cs="Arial MT Std"/>
          <w:color w:val="000000"/>
          <w:spacing w:val="-3"/>
          <w:sz w:val="12"/>
          <w:szCs w:val="12"/>
        </w:rPr>
        <w:tab/>
        <w:t>D</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D</w:t>
      </w:r>
      <w:proofErr w:type="spellEnd"/>
    </w:p>
    <w:p w14:paraId="400C744E" w14:textId="77777777" w:rsidR="00FC7B55" w:rsidRPr="00FC7B55" w:rsidRDefault="00FC7B55" w:rsidP="00FC7B55">
      <w:pPr>
        <w:pBdr>
          <w:bottom w:val="single" w:sz="8" w:space="1" w:color="000000"/>
        </w:pBdr>
        <w:tabs>
          <w:tab w:val="center" w:pos="2340"/>
          <w:tab w:val="center" w:pos="378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Storage Pool Disease</w:t>
      </w:r>
      <w:r w:rsidRPr="00FC7B55">
        <w:rPr>
          <w:rFonts w:ascii="Arial MT Std" w:hAnsi="Arial MT Std" w:cs="Arial MT Std"/>
          <w:color w:val="000000"/>
          <w:spacing w:val="-3"/>
          <w:sz w:val="12"/>
          <w:szCs w:val="12"/>
        </w:rPr>
        <w:tab/>
        <w:t>D</w:t>
      </w:r>
      <w:r w:rsidRPr="00FC7B55">
        <w:rPr>
          <w:rFonts w:ascii="Arial MT Std" w:hAnsi="Arial MT Std" w:cs="Arial MT Std"/>
          <w:color w:val="000000"/>
          <w:spacing w:val="-3"/>
          <w:sz w:val="12"/>
          <w:szCs w:val="12"/>
        </w:rPr>
        <w:tab/>
      </w:r>
      <w:proofErr w:type="spellStart"/>
      <w:r w:rsidRPr="00FC7B55">
        <w:rPr>
          <w:rFonts w:ascii="Arial MT Std" w:hAnsi="Arial MT Std" w:cs="Arial MT Std"/>
          <w:color w:val="000000"/>
          <w:spacing w:val="-3"/>
          <w:sz w:val="12"/>
          <w:szCs w:val="12"/>
        </w:rPr>
        <w:t>D</w:t>
      </w:r>
      <w:proofErr w:type="spellEnd"/>
    </w:p>
    <w:p w14:paraId="38D6ACC1" w14:textId="77777777" w:rsidR="00FC7B55" w:rsidRPr="00FC7B55" w:rsidRDefault="00FC7B55" w:rsidP="00FC7B55">
      <w:pPr>
        <w:tabs>
          <w:tab w:val="left" w:pos="2531"/>
          <w:tab w:val="left" w:pos="3802"/>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N = Normal, D = Decreased</w:t>
      </w:r>
    </w:p>
    <w:p w14:paraId="1EAE287B"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These agonists serve to stimulate the platelet, and the pattern of aggregation is recorded on a strip chart. The curve is then interpreted by the operator. Unfortunately, the reproducibility of results is dependent on many factors, and the test is highly labor intensive and expensive. For these reasons, platelet aggregometry is not routinely performed in most laboratories. As a result, platelet aggregation testing capabilities have been largely unavailable despite the strong clinical need for this data.</w:t>
      </w:r>
    </w:p>
    <w:p w14:paraId="1A53AB49"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methodology is an adaptation of platelet aggregometry that is extremely simple, inexpensive, and quick to perform (results are available in about five minutes). This two-step method involves using a cell counter to measure total platelet count in a whole blood sample and then to redetermine the platelet count on a second sample that has been exposed to a known platelet agonist. The agonist will stimulate those platelets which are functional to aggregate into clumps, and they will not be counted as platelets in the second sample. The difference in the platelet count between samples one and two provides a direct measurement of platelet aggregation and is reported as percent aggregation as per the following equation:</w:t>
      </w:r>
    </w:p>
    <w:p w14:paraId="16DED6A1" w14:textId="77777777" w:rsidR="00FC7B55" w:rsidRPr="00FC7B55" w:rsidRDefault="00FC7B55" w:rsidP="00FC7B55">
      <w:pPr>
        <w:pBdr>
          <w:bottom w:val="single" w:sz="2" w:space="3" w:color="000000"/>
        </w:pBdr>
        <w:tabs>
          <w:tab w:val="left" w:pos="200"/>
        </w:tabs>
        <w:suppressAutoHyphens/>
        <w:autoSpaceDE w:val="0"/>
        <w:autoSpaceDN w:val="0"/>
        <w:adjustRightInd w:val="0"/>
        <w:spacing w:before="40" w:line="288" w:lineRule="auto"/>
        <w:jc w:val="center"/>
        <w:textAlignment w:val="center"/>
        <w:rPr>
          <w:rFonts w:ascii="Arial MT Std" w:hAnsi="Arial MT Std" w:cs="Arial MT Std"/>
          <w:b/>
          <w:bCs/>
          <w:color w:val="000000"/>
          <w:w w:val="73"/>
          <w:position w:val="-11"/>
          <w:sz w:val="12"/>
          <w:szCs w:val="12"/>
        </w:rPr>
      </w:pPr>
      <w:r w:rsidRPr="00FC7B55">
        <w:rPr>
          <w:rFonts w:ascii="Arial MT Std" w:hAnsi="Arial MT Std" w:cs="Arial MT Std"/>
          <w:b/>
          <w:bCs/>
          <w:color w:val="000000"/>
          <w:w w:val="73"/>
          <w:sz w:val="12"/>
          <w:szCs w:val="12"/>
        </w:rPr>
        <w:t xml:space="preserve">Baseline Platelet Count – Agonist Platelet Count    </w:t>
      </w:r>
      <w:r w:rsidRPr="00FC7B55">
        <w:rPr>
          <w:rFonts w:ascii="Arial MT Std" w:hAnsi="Arial MT Std" w:cs="Arial MT Std"/>
          <w:b/>
          <w:bCs/>
          <w:color w:val="000000"/>
          <w:w w:val="73"/>
          <w:position w:val="-11"/>
          <w:sz w:val="12"/>
          <w:szCs w:val="12"/>
        </w:rPr>
        <w:t>X 100 = % Aggregation</w:t>
      </w:r>
    </w:p>
    <w:p w14:paraId="7DDCA06C" w14:textId="77777777" w:rsidR="00FC7B55" w:rsidRPr="00FC7B55" w:rsidRDefault="00FC7B55" w:rsidP="00FC7B55">
      <w:pPr>
        <w:tabs>
          <w:tab w:val="left" w:pos="200"/>
        </w:tabs>
        <w:suppressAutoHyphens/>
        <w:autoSpaceDE w:val="0"/>
        <w:autoSpaceDN w:val="0"/>
        <w:adjustRightInd w:val="0"/>
        <w:spacing w:after="58" w:line="288" w:lineRule="auto"/>
        <w:ind w:left="1000"/>
        <w:jc w:val="both"/>
        <w:textAlignment w:val="center"/>
        <w:rPr>
          <w:rFonts w:ascii="Arial MT Std" w:hAnsi="Arial MT Std" w:cs="Arial MT Std"/>
          <w:b/>
          <w:bCs/>
          <w:color w:val="000000"/>
          <w:spacing w:val="-1"/>
          <w:w w:val="73"/>
          <w:sz w:val="12"/>
          <w:szCs w:val="12"/>
        </w:rPr>
      </w:pPr>
      <w:r w:rsidRPr="00FC7B55">
        <w:rPr>
          <w:rFonts w:ascii="Arial MT Std" w:hAnsi="Arial MT Std" w:cs="Arial MT Std"/>
          <w:b/>
          <w:bCs/>
          <w:color w:val="000000"/>
          <w:w w:val="73"/>
          <w:sz w:val="12"/>
          <w:szCs w:val="12"/>
        </w:rPr>
        <w:t>Baseline Platelet Count</w:t>
      </w:r>
    </w:p>
    <w:p w14:paraId="14034972"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Platelets rendered inactive or non-functional by pharmaceutical intervention are considered inhibited.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results may be expressed as percent inhibition instead of percent aggregation.</w:t>
      </w:r>
    </w:p>
    <w:p w14:paraId="5D2557C7" w14:textId="77777777" w:rsidR="00FC7B55" w:rsidRPr="00FC7B55" w:rsidRDefault="00FC7B55" w:rsidP="00FC7B55">
      <w:pPr>
        <w:pBdr>
          <w:bottom w:val="single" w:sz="2" w:space="3" w:color="000000"/>
        </w:pBdr>
        <w:tabs>
          <w:tab w:val="left" w:pos="200"/>
        </w:tabs>
        <w:suppressAutoHyphens/>
        <w:autoSpaceDE w:val="0"/>
        <w:autoSpaceDN w:val="0"/>
        <w:adjustRightInd w:val="0"/>
        <w:spacing w:before="40" w:line="288" w:lineRule="auto"/>
        <w:jc w:val="center"/>
        <w:textAlignment w:val="center"/>
        <w:rPr>
          <w:rFonts w:ascii="Arial MT Std" w:hAnsi="Arial MT Std" w:cs="Arial MT Std"/>
          <w:b/>
          <w:bCs/>
          <w:color w:val="000000"/>
          <w:w w:val="73"/>
          <w:position w:val="-11"/>
          <w:sz w:val="12"/>
          <w:szCs w:val="12"/>
        </w:rPr>
      </w:pPr>
      <w:r w:rsidRPr="00FC7B55">
        <w:rPr>
          <w:rFonts w:ascii="Arial MT Std" w:hAnsi="Arial MT Std" w:cs="Arial MT Std"/>
          <w:b/>
          <w:bCs/>
          <w:color w:val="000000"/>
          <w:w w:val="73"/>
          <w:sz w:val="12"/>
          <w:szCs w:val="12"/>
        </w:rPr>
        <w:t xml:space="preserve">Agonist Platelet Count   </w:t>
      </w:r>
      <w:r w:rsidRPr="00FC7B55">
        <w:rPr>
          <w:rFonts w:ascii="Arial MT Std" w:hAnsi="Arial MT Std" w:cs="Arial MT Std"/>
          <w:b/>
          <w:bCs/>
          <w:color w:val="000000"/>
          <w:w w:val="73"/>
          <w:position w:val="-11"/>
          <w:sz w:val="12"/>
          <w:szCs w:val="12"/>
        </w:rPr>
        <w:t>X 100 = % Inhibition</w:t>
      </w:r>
    </w:p>
    <w:p w14:paraId="7CA5646D" w14:textId="77777777" w:rsidR="00FC7B55" w:rsidRPr="00FC7B55" w:rsidRDefault="00FC7B55" w:rsidP="00FC7B55">
      <w:pPr>
        <w:tabs>
          <w:tab w:val="left" w:pos="200"/>
        </w:tabs>
        <w:suppressAutoHyphens/>
        <w:autoSpaceDE w:val="0"/>
        <w:autoSpaceDN w:val="0"/>
        <w:adjustRightInd w:val="0"/>
        <w:spacing w:after="58" w:line="288" w:lineRule="auto"/>
        <w:ind w:left="1000"/>
        <w:jc w:val="both"/>
        <w:textAlignment w:val="center"/>
        <w:rPr>
          <w:rFonts w:ascii="Arial MT Std" w:hAnsi="Arial MT Std" w:cs="Arial MT Std"/>
          <w:color w:val="000000"/>
          <w:w w:val="73"/>
          <w:sz w:val="12"/>
          <w:szCs w:val="12"/>
        </w:rPr>
      </w:pPr>
      <w:r w:rsidRPr="00FC7B55">
        <w:rPr>
          <w:rFonts w:ascii="Arial MT Std" w:hAnsi="Arial MT Std" w:cs="Arial MT Std"/>
          <w:b/>
          <w:bCs/>
          <w:color w:val="000000"/>
          <w:w w:val="73"/>
          <w:sz w:val="12"/>
          <w:szCs w:val="12"/>
        </w:rPr>
        <w:t xml:space="preserve">       Baseline Platelet Count</w:t>
      </w:r>
    </w:p>
    <w:p w14:paraId="700AA274"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Users may refer to the % Aggregation/Inhibition Chart in each box of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w:t>
      </w:r>
    </w:p>
    <w:p w14:paraId="63073BE4"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REAGENTS</w:t>
      </w:r>
    </w:p>
    <w:p w14:paraId="27918E7E"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For In Vitro Diagnostic Use</w:t>
      </w:r>
    </w:p>
    <w:p w14:paraId="16144A7F"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Each </w:t>
      </w:r>
      <w:proofErr w:type="spellStart"/>
      <w:r w:rsidRPr="00FC7B55">
        <w:rPr>
          <w:rFonts w:ascii="Arial MT Std" w:hAnsi="Arial MT Std" w:cs="Arial MT Std"/>
          <w:color w:val="000000"/>
          <w:sz w:val="12"/>
          <w:szCs w:val="12"/>
        </w:rPr>
        <w:t>Plateletworks</w:t>
      </w:r>
      <w:proofErr w:type="spellEnd"/>
      <w:r w:rsidRPr="00FC7B55">
        <w:rPr>
          <w:rFonts w:ascii="Arial MT Std" w:hAnsi="Arial MT Std" w:cs="Arial MT Std"/>
          <w:color w:val="000000"/>
          <w:sz w:val="12"/>
          <w:szCs w:val="12"/>
        </w:rPr>
        <w:t xml:space="preserve"> kit contains baseline tubes and/or agonist tubes depending on the configuration of the kit. The tube contents are as follows:</w:t>
      </w:r>
    </w:p>
    <w:p w14:paraId="237AB1FF" w14:textId="69AD429D"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EDTA (baseline) tube: 24 µL containing 1.8 mg of K</w:t>
      </w:r>
      <w:r w:rsidRPr="00FC7B55">
        <w:rPr>
          <w:rFonts w:ascii="Arial MT Std" w:hAnsi="Arial MT Std" w:cs="Arial MT Std"/>
          <w:color w:val="000000"/>
          <w:spacing w:val="-1"/>
          <w:sz w:val="12"/>
          <w:szCs w:val="12"/>
          <w:vertAlign w:val="subscript"/>
        </w:rPr>
        <w:t>3</w:t>
      </w:r>
      <w:r w:rsidRPr="00FC7B55">
        <w:rPr>
          <w:rFonts w:ascii="Arial MT Std" w:hAnsi="Arial MT Std" w:cs="Arial MT Std"/>
          <w:color w:val="000000"/>
          <w:spacing w:val="-1"/>
          <w:sz w:val="12"/>
          <w:szCs w:val="12"/>
        </w:rPr>
        <w:t xml:space="preserve">EDTA (liquid) </w:t>
      </w:r>
    </w:p>
    <w:p w14:paraId="350B3E88" w14:textId="36E17972"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Arial MT Std" w:hAnsi="Arial MT Std" w:cs="Arial MT Std"/>
          <w:color w:val="000000"/>
          <w:sz w:val="12"/>
          <w:szCs w:val="12"/>
        </w:rPr>
        <w:t>ADP tube (gray top): 10µg ADP (bacterial), 3.2 mg sodium citrate, buffer salts (lyophilized)</w:t>
      </w:r>
      <w:r w:rsidRPr="00FC7B55">
        <w:rPr>
          <w:rFonts w:ascii="Arial MT Std" w:hAnsi="Arial MT Std" w:cs="Arial MT Std"/>
          <w:color w:val="000000"/>
          <w:spacing w:val="-1"/>
          <w:sz w:val="12"/>
          <w:szCs w:val="12"/>
        </w:rPr>
        <w:t xml:space="preserve"> </w:t>
      </w:r>
    </w:p>
    <w:p w14:paraId="66597F80" w14:textId="77777777" w:rsid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Webdings" w:hAnsi="Webdings" w:cs="Webdings"/>
          <w:color w:val="000000"/>
          <w:sz w:val="12"/>
          <w:szCs w:val="12"/>
        </w:rPr>
        <w:t>&lt;</w:t>
      </w:r>
      <w:r w:rsidRPr="00FC7B55">
        <w:rPr>
          <w:rFonts w:ascii="Arial MT Std" w:hAnsi="Arial MT Std" w:cs="Arial MT Std"/>
          <w:color w:val="000000"/>
          <w:sz w:val="12"/>
          <w:szCs w:val="12"/>
        </w:rPr>
        <w:t>Collagen tube (white top): 10 µg collagen (</w:t>
      </w:r>
      <w:proofErr w:type="spellStart"/>
      <w:r w:rsidRPr="00FC7B55">
        <w:rPr>
          <w:rFonts w:ascii="Arial MT Std" w:hAnsi="Arial MT Std" w:cs="Arial MT Std"/>
          <w:color w:val="000000"/>
          <w:sz w:val="12"/>
          <w:szCs w:val="12"/>
        </w:rPr>
        <w:t>equin</w:t>
      </w:r>
      <w:proofErr w:type="spellEnd"/>
      <w:r w:rsidRPr="00FC7B55">
        <w:rPr>
          <w:rFonts w:ascii="Arial MT Std" w:hAnsi="Arial MT Std" w:cs="Arial MT Std"/>
          <w:color w:val="000000"/>
          <w:sz w:val="12"/>
          <w:szCs w:val="12"/>
        </w:rPr>
        <w:t xml:space="preserve"> tendon), 3.2 mg sodium citrate (liquid)</w:t>
      </w:r>
    </w:p>
    <w:p w14:paraId="18312ED2" w14:textId="127D2FB0"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Webdings" w:hAnsi="Webdings" w:cs="Webdings"/>
          <w:color w:val="000000"/>
          <w:sz w:val="12"/>
          <w:szCs w:val="12"/>
        </w:rPr>
        <w:t>&lt;</w:t>
      </w:r>
      <w:r w:rsidRPr="00FC7B55">
        <w:rPr>
          <w:rFonts w:ascii="Arial MT Std" w:hAnsi="Arial MT Std" w:cs="Arial MT Std"/>
          <w:color w:val="000000"/>
          <w:sz w:val="12"/>
          <w:szCs w:val="12"/>
        </w:rPr>
        <w:t>Arachidonic Acid tube (yellow top): 125 µg arachidonic acid, 3.2 mg sodium citrate, buffer salts, bovine serum albumin (lyophilized)</w:t>
      </w:r>
    </w:p>
    <w:p w14:paraId="31DDFB3E"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b/>
          <w:bCs/>
          <w:color w:val="000000"/>
          <w:spacing w:val="-1"/>
          <w:sz w:val="12"/>
          <w:szCs w:val="12"/>
        </w:rPr>
        <w:t>Note:</w:t>
      </w:r>
      <w:r w:rsidRPr="00FC7B55">
        <w:rPr>
          <w:rFonts w:ascii="Arial MT Std" w:hAnsi="Arial MT Std" w:cs="Arial MT Std"/>
          <w:color w:val="000000"/>
          <w:spacing w:val="-1"/>
          <w:sz w:val="12"/>
          <w:szCs w:val="12"/>
        </w:rPr>
        <w:t xml:space="preserve"> All reagents are of non-human origin. Each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 requires a 1.0 cc fresh, human blood sample.</w:t>
      </w:r>
    </w:p>
    <w:p w14:paraId="2BFC41E8"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Storage and Stability</w:t>
      </w:r>
    </w:p>
    <w:p w14:paraId="07792698"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All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 should be stored at 2-8°C prior to use. When stored at 2-8°C, the tubes are stable until the marked expiration date. When stored at room temperature (20-24°C), ADP tubes are stable for one month. However, it is not recommended that Collagen tubes be stored at room temperature for longer than one week.</w:t>
      </w:r>
    </w:p>
    <w:p w14:paraId="4DCA495E"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INSTRUMENT</w:t>
      </w:r>
    </w:p>
    <w:p w14:paraId="646D852C"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 can be run on any hematology analyzer utilizing impedance methodology for determining platelet counts from whole blood. For detailed instructions, refer to the appropriate Operator’s Manual.</w:t>
      </w:r>
    </w:p>
    <w:p w14:paraId="589AC3A5"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SPECIMEN COLLECTION AND PREPARATION</w:t>
      </w:r>
    </w:p>
    <w:p w14:paraId="445088E7"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lastRenderedPageBreak/>
        <w:t>Blood samples should be collected via routine method (i.e., indwelling catheter line, venipuncture, etc.). No anticoagulation of the blood is required. Samples should be drawn in a manner to prevent contamination with tissue thromboplastin, indwelling IV solutions, and other interfering substances. Blood collection guidelines are described in the CLSI document GP41-Ed7, April 2017: "Collection of Diagnostic Venous Blood Specimens”.</w:t>
      </w:r>
    </w:p>
    <w:p w14:paraId="60A0D856"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z w:val="12"/>
          <w:szCs w:val="12"/>
        </w:rPr>
        <w:t>Venipuncture</w:t>
      </w:r>
    </w:p>
    <w:p w14:paraId="159853F4"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When using a venipuncture technique, needles of 19 to 22 gauge should be used to reduce the potential for platelet activation during specimen collection. For pediatric patients, a </w:t>
      </w:r>
      <w:proofErr w:type="gramStart"/>
      <w:r w:rsidRPr="00FC7B55">
        <w:rPr>
          <w:rFonts w:ascii="Arial MT Std" w:hAnsi="Arial MT Std" w:cs="Arial MT Std"/>
          <w:color w:val="000000"/>
          <w:spacing w:val="-1"/>
          <w:sz w:val="12"/>
          <w:szCs w:val="12"/>
        </w:rPr>
        <w:t>21 to 23 gauge</w:t>
      </w:r>
      <w:proofErr w:type="gramEnd"/>
      <w:r w:rsidRPr="00FC7B55">
        <w:rPr>
          <w:rFonts w:ascii="Arial MT Std" w:hAnsi="Arial MT Std" w:cs="Arial MT Std"/>
          <w:color w:val="000000"/>
          <w:spacing w:val="-1"/>
          <w:sz w:val="12"/>
          <w:szCs w:val="12"/>
        </w:rPr>
        <w:t xml:space="preserve"> needle may be used. Withdraw 2.0 cc of blood and discard it. Then collect a 2.5 cc sample of fresh whole blood for testing (1.0 cc for baseline tube and 1.0 cc for agonist tube).</w:t>
      </w:r>
    </w:p>
    <w:p w14:paraId="0FD98306"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z w:val="12"/>
          <w:szCs w:val="12"/>
        </w:rPr>
        <w:t>Extracorporeal Line</w:t>
      </w:r>
    </w:p>
    <w:p w14:paraId="26842651"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Using a two-syringe technique, flush the extracorporeal blood access line by withdrawing 2.0 cc of blood into a syringe and discarding it. Then use a second syringe to obtain a 2.5 cc sample of fresh whole blood for testing (1.0 cc for baseline tube and 1.0 cc for agonist tube).</w:t>
      </w:r>
    </w:p>
    <w:p w14:paraId="36BEC08D"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Indwelling Catheter Line</w:t>
      </w:r>
    </w:p>
    <w:p w14:paraId="4EEDB3DE"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Discontinue fluids drip, if necessary, and flush the line with 5 mL saline. Using a two-syringe technique, withdraw 2.0 cc of blood into a syringe and discard it. Then use a second syringe to obtain a 2.5 cc sample of fresh whole blood for testing (1.0 cc for baseline tube and 1.0 cc for agonist tube).</w:t>
      </w:r>
    </w:p>
    <w:p w14:paraId="101A32E7" w14:textId="77777777" w:rsidR="00FC7B55" w:rsidRPr="00FC7B55" w:rsidRDefault="00FC7B55" w:rsidP="00FC7B55">
      <w:pPr>
        <w:suppressAutoHyphens/>
        <w:autoSpaceDE w:val="0"/>
        <w:autoSpaceDN w:val="0"/>
        <w:adjustRightInd w:val="0"/>
        <w:spacing w:before="40"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b/>
          <w:bCs/>
          <w:color w:val="000000"/>
          <w:spacing w:val="-1"/>
          <w:sz w:val="12"/>
          <w:szCs w:val="12"/>
        </w:rPr>
        <w:t>NOTE:</w:t>
      </w:r>
      <w:r w:rsidRPr="00FC7B55">
        <w:rPr>
          <w:rFonts w:ascii="Arial MT Std" w:hAnsi="Arial MT Std" w:cs="Arial MT Std"/>
          <w:color w:val="000000"/>
          <w:spacing w:val="-1"/>
          <w:sz w:val="12"/>
          <w:szCs w:val="12"/>
        </w:rPr>
        <w:t xml:space="preserve"> The appropriate amount of blood from the hypodermic needle/syringe must be added to the EDTA and agonist tubes within one minute after completion of the draw. The agonist tube should be tested within ten minutes after sample addition to the tube.</w:t>
      </w:r>
    </w:p>
    <w:p w14:paraId="581F86EE"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PROCEDURE</w:t>
      </w:r>
    </w:p>
    <w:p w14:paraId="4C884F72"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Materials Provided</w:t>
      </w:r>
    </w:p>
    <w:p w14:paraId="245CB357"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Kits include agonist tubes, baseline tubes and a % Aggregation/Inhibition chart. A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Aggregation/Inhibition Calculation Wheel (584) is also available upon request.</w:t>
      </w:r>
    </w:p>
    <w:p w14:paraId="1358CBCD"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b/>
          <w:bCs/>
          <w:color w:val="000000"/>
          <w:spacing w:val="-1"/>
          <w:sz w:val="12"/>
          <w:szCs w:val="12"/>
        </w:rPr>
        <w:t>Contents</w:t>
      </w:r>
      <w:r w:rsidRPr="00FC7B55">
        <w:rPr>
          <w:rFonts w:ascii="Arial MT Std" w:hAnsi="Arial MT Std" w:cs="Arial MT Std"/>
          <w:b/>
          <w:bCs/>
          <w:color w:val="000000"/>
          <w:spacing w:val="-1"/>
          <w:sz w:val="12"/>
          <w:szCs w:val="12"/>
        </w:rPr>
        <w:tab/>
        <w:t>Cat. No.</w:t>
      </w:r>
    </w:p>
    <w:p w14:paraId="508F3DFB"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Collagen Kit</w:t>
      </w:r>
      <w:r w:rsidRPr="00FC7B55">
        <w:rPr>
          <w:rFonts w:ascii="Arial MT Std" w:hAnsi="Arial MT Std" w:cs="Arial MT Std"/>
          <w:color w:val="000000"/>
          <w:spacing w:val="-1"/>
          <w:sz w:val="12"/>
          <w:szCs w:val="12"/>
        </w:rPr>
        <w:tab/>
        <w:t>5862</w:t>
      </w:r>
    </w:p>
    <w:p w14:paraId="22499D1A"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Collagen tubes</w:t>
      </w:r>
    </w:p>
    <w:p w14:paraId="7D1CBCE4"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Baseline (EDTA) tubes</w:t>
      </w:r>
    </w:p>
    <w:p w14:paraId="52877DD9"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ADP Kit</w:t>
      </w:r>
      <w:r w:rsidRPr="00FC7B55">
        <w:rPr>
          <w:rFonts w:ascii="Arial MT Std" w:hAnsi="Arial MT Std" w:cs="Arial MT Std"/>
          <w:color w:val="000000"/>
          <w:spacing w:val="-1"/>
          <w:sz w:val="12"/>
          <w:szCs w:val="12"/>
        </w:rPr>
        <w:tab/>
        <w:t>5860</w:t>
      </w:r>
    </w:p>
    <w:p w14:paraId="32F3D3F6"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ADP tubes</w:t>
      </w:r>
    </w:p>
    <w:p w14:paraId="4F174DF2"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Baseline (EDTA) tubes</w:t>
      </w:r>
      <w:r w:rsidRPr="00FC7B55">
        <w:rPr>
          <w:rFonts w:ascii="Arial MT Std" w:hAnsi="Arial MT Std" w:cs="Arial MT Std"/>
          <w:color w:val="000000"/>
          <w:spacing w:val="-1"/>
          <w:sz w:val="12"/>
          <w:szCs w:val="12"/>
        </w:rPr>
        <w:tab/>
      </w:r>
    </w:p>
    <w:p w14:paraId="4C1624FD"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Combo-15 Kit</w:t>
      </w:r>
      <w:r w:rsidRPr="00FC7B55">
        <w:rPr>
          <w:rFonts w:ascii="Arial MT Std" w:hAnsi="Arial MT Std" w:cs="Arial MT Std"/>
          <w:color w:val="000000"/>
          <w:spacing w:val="-1"/>
          <w:sz w:val="12"/>
          <w:szCs w:val="12"/>
        </w:rPr>
        <w:tab/>
        <w:t>5850</w:t>
      </w:r>
    </w:p>
    <w:p w14:paraId="0895E338"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15 Collagen Tubes</w:t>
      </w:r>
    </w:p>
    <w:p w14:paraId="793A7EA2"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15 ADP Tubes</w:t>
      </w:r>
    </w:p>
    <w:p w14:paraId="5418FBE5"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15 Baseline (EDTA) Tubes</w:t>
      </w:r>
    </w:p>
    <w:p w14:paraId="5D846186" w14:textId="77777777" w:rsidR="00FC7B55" w:rsidRPr="00FC7B55" w:rsidRDefault="00FC7B55" w:rsidP="00FC7B55">
      <w:pPr>
        <w:tabs>
          <w:tab w:val="left" w:pos="200"/>
          <w:tab w:val="right" w:pos="4260"/>
        </w:tabs>
        <w:suppressAutoHyphens/>
        <w:autoSpaceDE w:val="0"/>
        <w:autoSpaceDN w:val="0"/>
        <w:adjustRightInd w:val="0"/>
        <w:spacing w:before="20"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Combo-25 Kit</w:t>
      </w:r>
      <w:r w:rsidRPr="00FC7B55">
        <w:rPr>
          <w:rFonts w:ascii="Arial MT Std" w:hAnsi="Arial MT Std" w:cs="Arial MT Std"/>
          <w:color w:val="000000"/>
          <w:spacing w:val="-1"/>
          <w:sz w:val="12"/>
          <w:szCs w:val="12"/>
        </w:rPr>
        <w:tab/>
        <w:t>5852</w:t>
      </w:r>
    </w:p>
    <w:p w14:paraId="3A9E29A5"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Collagen Tubes</w:t>
      </w:r>
    </w:p>
    <w:p w14:paraId="60B08238"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25 ADP Tubes</w:t>
      </w:r>
    </w:p>
    <w:p w14:paraId="6E809208"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Combo-10 Kit</w:t>
      </w:r>
      <w:r w:rsidRPr="00FC7B55">
        <w:rPr>
          <w:rFonts w:ascii="Arial MT Std" w:hAnsi="Arial MT Std" w:cs="Arial MT Std"/>
          <w:color w:val="000000"/>
          <w:spacing w:val="-1"/>
          <w:sz w:val="12"/>
          <w:szCs w:val="12"/>
        </w:rPr>
        <w:tab/>
        <w:t>5854</w:t>
      </w:r>
    </w:p>
    <w:p w14:paraId="556F2821"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10 Collagen Tubes</w:t>
      </w:r>
    </w:p>
    <w:p w14:paraId="24635122"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10 ADP Tubes</w:t>
      </w:r>
    </w:p>
    <w:p w14:paraId="112C4259"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10 Arachidonic Acid Tubes</w:t>
      </w:r>
    </w:p>
    <w:p w14:paraId="69F9FE43" w14:textId="77777777" w:rsidR="00FC7B55" w:rsidRPr="00FC7B55" w:rsidRDefault="00FC7B55" w:rsidP="00FC7B55">
      <w:pPr>
        <w:tabs>
          <w:tab w:val="left" w:pos="200"/>
          <w:tab w:val="right" w:pos="4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10 Baseline (EDTA) Tubes</w:t>
      </w:r>
    </w:p>
    <w:p w14:paraId="369C3771"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 xml:space="preserve">Materials Required but Not Provided </w:t>
      </w:r>
    </w:p>
    <w:p w14:paraId="2207C17F"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3"/>
          <w:sz w:val="12"/>
          <w:szCs w:val="12"/>
        </w:rPr>
        <w:t>I</w:t>
      </w:r>
      <w:r w:rsidRPr="00FC7B55">
        <w:rPr>
          <w:rFonts w:ascii="Arial MT Std" w:hAnsi="Arial MT Std" w:cs="Arial MT Std"/>
          <w:color w:val="000000"/>
          <w:spacing w:val="-1"/>
          <w:sz w:val="12"/>
          <w:szCs w:val="12"/>
        </w:rPr>
        <w:t>mpedance cell counter</w:t>
      </w:r>
    </w:p>
    <w:p w14:paraId="1E96D7A4"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Blood collection materials (syringes, blood collection set, etc.)</w:t>
      </w:r>
    </w:p>
    <w:p w14:paraId="1BDB7264"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Step-by-Step Method</w:t>
      </w:r>
    </w:p>
    <w:p w14:paraId="4CC02890"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b/>
          <w:bCs/>
          <w:color w:val="000000"/>
          <w:spacing w:val="-1"/>
          <w:sz w:val="12"/>
          <w:szCs w:val="12"/>
        </w:rPr>
        <w:t>Note:</w:t>
      </w:r>
      <w:r w:rsidRPr="00FC7B55">
        <w:rPr>
          <w:rFonts w:ascii="Arial MT Std" w:hAnsi="Arial MT Std" w:cs="Arial MT Std"/>
          <w:color w:val="000000"/>
          <w:spacing w:val="-1"/>
          <w:sz w:val="12"/>
          <w:szCs w:val="12"/>
        </w:rPr>
        <w:t xml:space="preserve"> If kept refrigerated at 2-8°C, allow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 to equilibrate to room temperature (20-24°C) before adding sample.</w:t>
      </w:r>
    </w:p>
    <w:p w14:paraId="02E10C09" w14:textId="170BA778"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1. Obtain the desired fresh whole blood sample. A 1.0 cc whole blood sample is required for each agonist tube and each baseline tube.</w:t>
      </w:r>
    </w:p>
    <w:p w14:paraId="0E976214" w14:textId="35246995"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2. Immediately dispense 1.0 cc of blood into each of the baseline tube and the agonist tube.</w:t>
      </w:r>
    </w:p>
    <w:p w14:paraId="609A6492" w14:textId="50F33B71"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3. Mix each tube (baseline and agonist) vigorously 15 to 20 times to ensure adequate mixing.</w:t>
      </w:r>
    </w:p>
    <w:p w14:paraId="1E111493" w14:textId="1E3C2E60"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4. The baseline tube is then run on an appropriate cell counter, recording the platelet count.</w:t>
      </w:r>
    </w:p>
    <w:p w14:paraId="104F1596" w14:textId="05CBE7EE"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5. Mix the ADP tube an additional 3 to 5 times and run on the cell counter. Record the platelet count.</w:t>
      </w:r>
    </w:p>
    <w:p w14:paraId="44FBC839" w14:textId="7A8D3AC6"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6. The Collagen tube is mixed 4-5 times each minute for 4 minutes.</w:t>
      </w:r>
    </w:p>
    <w:p w14:paraId="0A3D1D69" w14:textId="1714A94E"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7. The Collagen tube is then run on a cell counter, recording the platelet count.</w:t>
      </w:r>
    </w:p>
    <w:p w14:paraId="659DEB6E"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8. The percent platelet aggregation is then calculated </w:t>
      </w:r>
    </w:p>
    <w:p w14:paraId="765DD431" w14:textId="0EAFD40E" w:rsidR="00FC7B55" w:rsidRPr="00FC7B55" w:rsidRDefault="00FC7B55" w:rsidP="00FC7B55">
      <w:pPr>
        <w:tabs>
          <w:tab w:val="left" w:pos="206"/>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a) from the % Aggregation/Inhibition Chart supplied in the package of tubes.</w:t>
      </w:r>
    </w:p>
    <w:p w14:paraId="08A257F6" w14:textId="77777777" w:rsidR="00FC7B55" w:rsidRPr="00FC7B55" w:rsidRDefault="00FC7B55" w:rsidP="00FC7B55">
      <w:pPr>
        <w:tabs>
          <w:tab w:val="left" w:pos="206"/>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 xml:space="preserve">b) using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Calculation Wheel.</w:t>
      </w:r>
    </w:p>
    <w:p w14:paraId="57152B18" w14:textId="77777777" w:rsidR="00FC7B55" w:rsidRPr="00FC7B55" w:rsidRDefault="00FC7B55" w:rsidP="00FC7B55">
      <w:pPr>
        <w:tabs>
          <w:tab w:val="left" w:pos="206"/>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c) calculated by the appropriate formula.</w:t>
      </w:r>
    </w:p>
    <w:p w14:paraId="6223106F"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 xml:space="preserve">Quality Control </w:t>
      </w:r>
    </w:p>
    <w:p w14:paraId="763A4E8F"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Quality control testing of the cell counter used to perform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should be completed during each shift the system is used. These results will ensure that the instrument is functioning properly. </w:t>
      </w:r>
    </w:p>
    <w:p w14:paraId="35E4B4CB"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It is suggested that each laboratory establish its own normal range. No commercial controls for platelet aggregation testing are available. Blood drawn from healthy adults may be used as normal controls for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These individuals must be free from any medication known to affect platelet function for a minimum of 5 days and should have prior platelet aggregation tests that fall within the normal range established by the laboratory. If the second normal control value is also outside the normal reference interval, the assay should be considered out of control and no testing should be performed. In this case, contact Helena’s Technical Support for assistance (1-800-231-5663, ext. 600).</w:t>
      </w:r>
    </w:p>
    <w:p w14:paraId="21F89881"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z w:val="12"/>
          <w:szCs w:val="12"/>
        </w:rPr>
        <w:t>LIMITATIONS</w:t>
      </w:r>
    </w:p>
    <w:p w14:paraId="58FF4EA6" w14:textId="0A66D1D7"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 xml:space="preserve">Only fresh, human whole blood should be added to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 Do not collect samples into blood collection tubes containing anticoagulant (i.e., sodium citrate, EDTA, or heparin) prior to addition to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w:t>
      </w:r>
    </w:p>
    <w:p w14:paraId="55792293" w14:textId="26A5A614"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It is recognized that many drugs and compounds (prescription and non-prescription) may affect platelet aggregation. The most common of these is aspirin. Therefore, a complete medical history that includes a list of drugs taken for 7-10 days prior to testing should be obtained.</w:t>
      </w:r>
    </w:p>
    <w:p w14:paraId="23304D4D" w14:textId="3BE121DC"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 xml:space="preserve">The validity of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is dependent on the accuracy of the platelet counts obtained. Multiple factors may potentially interfere with the accuracy of the platelet count when performed on an automated cell counter. Therefore, platelet counts obtained should be scrutinized in light of the patient’s clinical circumstance and previous platelet count results.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results should always be interpreted in light of the clinical history and condition of the patient.</w:t>
      </w:r>
    </w:p>
    <w:p w14:paraId="0F124C08" w14:textId="46DCD188"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 xml:space="preserve">The agonist tube should be tested within </w:t>
      </w:r>
      <w:r w:rsidRPr="00FC7B55">
        <w:rPr>
          <w:rFonts w:ascii="Arial MT Std" w:hAnsi="Arial MT Std" w:cs="Arial MT Std"/>
          <w:b/>
          <w:bCs/>
          <w:color w:val="000000"/>
          <w:spacing w:val="-1"/>
          <w:sz w:val="12"/>
          <w:szCs w:val="12"/>
        </w:rPr>
        <w:t>ten minutes</w:t>
      </w:r>
      <w:r w:rsidRPr="00FC7B55">
        <w:rPr>
          <w:rFonts w:ascii="Arial MT Std" w:hAnsi="Arial MT Std" w:cs="Arial MT Std"/>
          <w:color w:val="000000"/>
          <w:spacing w:val="-1"/>
          <w:sz w:val="12"/>
          <w:szCs w:val="12"/>
        </w:rPr>
        <w:t xml:space="preserve"> after sample addition to the tube.</w:t>
      </w:r>
    </w:p>
    <w:p w14:paraId="4BFB8634" w14:textId="008328F0"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It may be beneficial for any abnormal baseline results to be further investigated using additional platelet testing methodology, such as platelet count, bleeding time, assessment of platelet morphology, and others.</w:t>
      </w:r>
    </w:p>
    <w:p w14:paraId="0B5854AE" w14:textId="21F04A89"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Do not use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tubes past their expiration date or those which have been improperly stored.</w:t>
      </w:r>
    </w:p>
    <w:p w14:paraId="56B55E3E" w14:textId="1A683B38" w:rsidR="00FC7B55" w:rsidRPr="00FC7B55" w:rsidRDefault="00FC7B55" w:rsidP="00FC7B55">
      <w:pPr>
        <w:tabs>
          <w:tab w:val="left" w:pos="14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r w:rsidRPr="00FC7B55">
        <w:rPr>
          <w:rFonts w:ascii="Wingdings" w:hAnsi="Wingdings" w:cs="Wingdings"/>
          <w:color w:val="000000"/>
          <w:spacing w:val="-1"/>
          <w:sz w:val="12"/>
          <w:szCs w:val="12"/>
        </w:rPr>
        <w:tab/>
      </w:r>
      <w:proofErr w:type="spellStart"/>
      <w:r w:rsidRPr="00FC7B55">
        <w:rPr>
          <w:rFonts w:ascii="Arial MT Std" w:hAnsi="Arial MT Std" w:cs="Arial MT Std"/>
          <w:color w:val="000000"/>
          <w:spacing w:val="-2"/>
          <w:sz w:val="12"/>
          <w:szCs w:val="12"/>
        </w:rPr>
        <w:t>Plateletworks</w:t>
      </w:r>
      <w:proofErr w:type="spellEnd"/>
      <w:r w:rsidRPr="00FC7B55">
        <w:rPr>
          <w:rFonts w:ascii="Arial MT Std" w:hAnsi="Arial MT Std" w:cs="Arial MT Std"/>
          <w:color w:val="000000"/>
          <w:spacing w:val="-2"/>
          <w:sz w:val="12"/>
          <w:szCs w:val="12"/>
        </w:rPr>
        <w:t xml:space="preserve"> results may be affected by poor technique (e.g., improper blood sample volume, delayed test performance beyond recommended procedure, etc.).</w:t>
      </w:r>
    </w:p>
    <w:p w14:paraId="06ED51DC"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pacing w:val="-3"/>
          <w:sz w:val="12"/>
          <w:szCs w:val="12"/>
        </w:rPr>
      </w:pPr>
      <w:r w:rsidRPr="00FC7B55">
        <w:rPr>
          <w:rFonts w:ascii="Arial MT Std" w:hAnsi="Arial MT Std" w:cs="Arial MT Std"/>
          <w:b/>
          <w:bCs/>
          <w:color w:val="000000"/>
          <w:spacing w:val="-3"/>
          <w:sz w:val="12"/>
          <w:szCs w:val="12"/>
        </w:rPr>
        <w:t>INTERFERENCES</w:t>
      </w:r>
    </w:p>
    <w:p w14:paraId="596A1686" w14:textId="673956EF" w:rsidR="00FC7B55" w:rsidRPr="00FC7B55" w:rsidRDefault="00FC7B55" w:rsidP="00FC7B55">
      <w:pPr>
        <w:tabs>
          <w:tab w:val="left" w:pos="1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t>&lt;</w:t>
      </w:r>
      <w:proofErr w:type="spellStart"/>
      <w:r w:rsidRPr="00FC7B55">
        <w:rPr>
          <w:rFonts w:ascii="Arial MT Std" w:hAnsi="Arial MT Std" w:cs="Arial MT Std"/>
          <w:color w:val="000000"/>
          <w:spacing w:val="-1"/>
          <w:sz w:val="12"/>
          <w:szCs w:val="12"/>
        </w:rPr>
        <w:t>Pseudothrombocytopenia</w:t>
      </w:r>
      <w:proofErr w:type="spellEnd"/>
      <w:r w:rsidRPr="00FC7B55">
        <w:rPr>
          <w:rFonts w:ascii="Arial MT Std" w:hAnsi="Arial MT Std" w:cs="Arial MT Std"/>
          <w:color w:val="000000"/>
          <w:spacing w:val="-1"/>
          <w:sz w:val="12"/>
          <w:szCs w:val="12"/>
        </w:rPr>
        <w:t xml:space="preserve">, though infrequent, can result from EDTA-dependent platelet agglutination. </w:t>
      </w:r>
      <w:proofErr w:type="spellStart"/>
      <w:r w:rsidRPr="00FC7B55">
        <w:rPr>
          <w:rFonts w:ascii="Arial MT Std" w:hAnsi="Arial MT Std" w:cs="Arial MT Std"/>
          <w:color w:val="000000"/>
          <w:spacing w:val="-1"/>
          <w:sz w:val="12"/>
          <w:szCs w:val="12"/>
        </w:rPr>
        <w:t>Pseudothrombocytopenia</w:t>
      </w:r>
      <w:proofErr w:type="spellEnd"/>
      <w:r w:rsidRPr="00FC7B55">
        <w:rPr>
          <w:rFonts w:ascii="Arial MT Std" w:hAnsi="Arial MT Std" w:cs="Arial MT Std"/>
          <w:color w:val="000000"/>
          <w:spacing w:val="-1"/>
          <w:sz w:val="12"/>
          <w:szCs w:val="12"/>
        </w:rPr>
        <w:t xml:space="preserve"> may be suspected with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if the platelet count determined using the agonist tube is higher than the platelet count determined using the baseline tube (containing EDTA anticoagulant). If </w:t>
      </w:r>
      <w:proofErr w:type="spellStart"/>
      <w:r w:rsidRPr="00FC7B55">
        <w:rPr>
          <w:rFonts w:ascii="Arial MT Std" w:hAnsi="Arial MT Std" w:cs="Arial MT Std"/>
          <w:color w:val="000000"/>
          <w:spacing w:val="-1"/>
          <w:sz w:val="12"/>
          <w:szCs w:val="12"/>
        </w:rPr>
        <w:t>pseudothrombocytopenia</w:t>
      </w:r>
      <w:proofErr w:type="spellEnd"/>
      <w:r w:rsidRPr="00FC7B55">
        <w:rPr>
          <w:rFonts w:ascii="Arial MT Std" w:hAnsi="Arial MT Std" w:cs="Arial MT Std"/>
          <w:color w:val="000000"/>
          <w:spacing w:val="-1"/>
          <w:sz w:val="12"/>
          <w:szCs w:val="12"/>
        </w:rPr>
        <w:t xml:space="preserve"> is suspected, common laboratory practice is to re-draw the blood sample into a sodium citrate collection tube and perform the blood count; the results should be corrected by a factor of 1.1 to account for the sample dilution that occurs with the use of sodium citrate as an anticoagulant. This procedure should be followed using the sodium citrate tube in lieu of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baseline tube, followed by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agonist tube, to determine percent platelet aggregation.</w:t>
      </w:r>
    </w:p>
    <w:p w14:paraId="55EEF5F5" w14:textId="1DC90BBB" w:rsidR="00FC7B55" w:rsidRPr="00FC7B55" w:rsidRDefault="00FC7B55" w:rsidP="00FC7B55">
      <w:pPr>
        <w:tabs>
          <w:tab w:val="left" w:pos="1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Webdings" w:hAnsi="Webdings" w:cs="Webdings"/>
          <w:color w:val="000000"/>
          <w:sz w:val="12"/>
          <w:szCs w:val="12"/>
        </w:rPr>
        <w:lastRenderedPageBreak/>
        <w:t>&lt;</w:t>
      </w:r>
      <w:r w:rsidRPr="00FC7B55">
        <w:rPr>
          <w:rFonts w:ascii="Wingdings" w:hAnsi="Wingdings" w:cs="Wingdings"/>
          <w:color w:val="000000"/>
          <w:spacing w:val="-1"/>
          <w:sz w:val="12"/>
          <w:szCs w:val="12"/>
        </w:rPr>
        <w:tab/>
      </w:r>
      <w:r w:rsidRPr="00FC7B55">
        <w:rPr>
          <w:rFonts w:ascii="Arial MT Std" w:hAnsi="Arial MT Std" w:cs="Arial MT Std"/>
          <w:color w:val="000000"/>
          <w:spacing w:val="-1"/>
          <w:sz w:val="12"/>
          <w:szCs w:val="12"/>
        </w:rPr>
        <w:t>Cell counters utilizing electronic impedance cell counting principles may be subject to known interfering substances which can impact platelet count results. These include:</w:t>
      </w:r>
    </w:p>
    <w:p w14:paraId="4B5EABB1" w14:textId="44D3D6E8"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Microcytes, </w:t>
      </w:r>
      <w:proofErr w:type="spellStart"/>
      <w:r w:rsidRPr="00FC7B55">
        <w:rPr>
          <w:rFonts w:ascii="Arial MT Std" w:hAnsi="Arial MT Std" w:cs="Arial MT Std"/>
          <w:color w:val="000000"/>
          <w:spacing w:val="-1"/>
          <w:sz w:val="12"/>
          <w:szCs w:val="12"/>
        </w:rPr>
        <w:t>schizocytes</w:t>
      </w:r>
      <w:proofErr w:type="spellEnd"/>
      <w:r w:rsidRPr="00FC7B55">
        <w:rPr>
          <w:rFonts w:ascii="Arial MT Std" w:hAnsi="Arial MT Std" w:cs="Arial MT Std"/>
          <w:color w:val="000000"/>
          <w:spacing w:val="-1"/>
          <w:sz w:val="12"/>
          <w:szCs w:val="12"/>
        </w:rPr>
        <w:t>, and WBC fragments, which may interfere with the proper counting of platelets and cause elevated platelet counts</w:t>
      </w:r>
    </w:p>
    <w:p w14:paraId="09ED9087" w14:textId="0DE8512F"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Agglutinated erythrocytes, which may trap platelets and cause an erroneously low platelet count</w:t>
      </w:r>
    </w:p>
    <w:p w14:paraId="79CE3BBE" w14:textId="247F35D1"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Giant platelets, which may cause an erroneously low platelet count since they may exceed the upper limit threshold for the platelet parameter </w:t>
      </w:r>
    </w:p>
    <w:p w14:paraId="77D6EAC5" w14:textId="23B6829B"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Chemotherapy, which may increase the fragility of platelets and cause low platelet counts</w:t>
      </w:r>
    </w:p>
    <w:p w14:paraId="0AF9866C" w14:textId="2BBD2922"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Hemolysis, which contains red cell stroma and may elevate platelet counts</w:t>
      </w:r>
    </w:p>
    <w:p w14:paraId="21A6A4A5" w14:textId="12DFD95E"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Acid-citrate-dextrose (ACD) blood, which may contain platelet aggregates that could depress the platelet count</w:t>
      </w:r>
    </w:p>
    <w:p w14:paraId="11070564" w14:textId="69FCAE2C"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RBC inclusions, which may produce a spuriously increased platelet count</w:t>
      </w:r>
    </w:p>
    <w:p w14:paraId="556690B0" w14:textId="1DB2CD71" w:rsidR="00FC7B55" w:rsidRPr="00FC7B55" w:rsidRDefault="00FC7B55" w:rsidP="00FC7B55">
      <w:pPr>
        <w:tabs>
          <w:tab w:val="left" w:pos="26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r>
      <w:r w:rsidRPr="00FC7B55">
        <w:rPr>
          <w:rFonts w:ascii="Webdings" w:hAnsi="Webdings" w:cs="Webdings"/>
          <w:color w:val="000000"/>
          <w:sz w:val="12"/>
          <w:szCs w:val="12"/>
        </w:rPr>
        <w:t>&lt;</w:t>
      </w:r>
      <w:r w:rsidRPr="00FC7B55">
        <w:rPr>
          <w:rFonts w:ascii="Arial MT Std" w:hAnsi="Arial MT Std" w:cs="Arial MT Std"/>
          <w:color w:val="000000"/>
          <w:spacing w:val="-1"/>
          <w:sz w:val="12"/>
          <w:szCs w:val="12"/>
        </w:rPr>
        <w:t xml:space="preserve"> Platelet agglutination, due to poor collection techniques or EDTA activation, which may cause a decreased platelet count</w:t>
      </w:r>
    </w:p>
    <w:p w14:paraId="5AC99517"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REFERENCE VALUES</w:t>
      </w:r>
    </w:p>
    <w:p w14:paraId="02697571"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The reference value for each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agonist tube was determined on samples collected from healthy volunteers. Each laboratory should establish their own reference range with their normal patient population.</w:t>
      </w:r>
      <w:r w:rsidRPr="00FC7B55">
        <w:rPr>
          <w:rFonts w:ascii="Arial MT Std" w:hAnsi="Arial MT Std" w:cs="Arial MT Std"/>
          <w:color w:val="000000"/>
          <w:spacing w:val="-1"/>
          <w:sz w:val="12"/>
          <w:szCs w:val="12"/>
          <w:vertAlign w:val="superscript"/>
        </w:rPr>
        <w:t>13</w:t>
      </w:r>
      <w:r w:rsidRPr="00FC7B55">
        <w:rPr>
          <w:rFonts w:ascii="Arial MT Std" w:hAnsi="Arial MT Std" w:cs="Arial MT Std"/>
          <w:color w:val="000000"/>
          <w:spacing w:val="-1"/>
          <w:sz w:val="12"/>
          <w:szCs w:val="12"/>
        </w:rPr>
        <w:t xml:space="preserve"> The data are as follows:</w:t>
      </w:r>
    </w:p>
    <w:p w14:paraId="22CB1A9D" w14:textId="77777777" w:rsidR="00FC7B55" w:rsidRPr="00FC7B55" w:rsidRDefault="00FC7B55" w:rsidP="00FC7B55">
      <w:pPr>
        <w:pBdr>
          <w:bottom w:val="single" w:sz="4" w:space="1" w:color="000000"/>
        </w:pBdr>
        <w:tabs>
          <w:tab w:val="left" w:pos="720"/>
          <w:tab w:val="left" w:pos="2160"/>
        </w:tabs>
        <w:suppressAutoHyphens/>
        <w:autoSpaceDE w:val="0"/>
        <w:autoSpaceDN w:val="0"/>
        <w:adjustRightInd w:val="0"/>
        <w:spacing w:before="40" w:line="288" w:lineRule="auto"/>
        <w:jc w:val="both"/>
        <w:textAlignment w:val="center"/>
        <w:rPr>
          <w:rFonts w:ascii="Arial MT Std" w:hAnsi="Arial MT Std" w:cs="Arial MT Std"/>
          <w:b/>
          <w:bCs/>
          <w:color w:val="000000"/>
          <w:spacing w:val="-1"/>
          <w:sz w:val="12"/>
          <w:szCs w:val="12"/>
        </w:rPr>
      </w:pPr>
      <w:r w:rsidRPr="00FC7B55">
        <w:rPr>
          <w:rFonts w:ascii="Arial MT Std" w:hAnsi="Arial MT Std" w:cs="Arial MT Std"/>
          <w:b/>
          <w:bCs/>
          <w:color w:val="000000"/>
          <w:spacing w:val="-1"/>
          <w:sz w:val="12"/>
          <w:szCs w:val="12"/>
        </w:rPr>
        <w:tab/>
        <w:t>Agonist</w:t>
      </w:r>
      <w:r w:rsidRPr="00FC7B55">
        <w:rPr>
          <w:rFonts w:ascii="Arial MT Std" w:hAnsi="Arial MT Std" w:cs="Arial MT Std"/>
          <w:b/>
          <w:bCs/>
          <w:color w:val="000000"/>
          <w:spacing w:val="-1"/>
          <w:sz w:val="12"/>
          <w:szCs w:val="12"/>
        </w:rPr>
        <w:tab/>
        <w:t>Reference Range</w:t>
      </w:r>
    </w:p>
    <w:p w14:paraId="64C8B31B" w14:textId="77777777" w:rsidR="00FC7B55" w:rsidRPr="00FC7B55" w:rsidRDefault="00FC7B55" w:rsidP="00FC7B55">
      <w:pPr>
        <w:tabs>
          <w:tab w:val="left" w:pos="720"/>
          <w:tab w:val="center" w:pos="262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Collagen</w:t>
      </w:r>
      <w:r w:rsidRPr="00FC7B55">
        <w:rPr>
          <w:rFonts w:ascii="Arial MT Std" w:hAnsi="Arial MT Std" w:cs="Arial MT Std"/>
          <w:color w:val="000000"/>
          <w:spacing w:val="-1"/>
          <w:sz w:val="12"/>
          <w:szCs w:val="12"/>
        </w:rPr>
        <w:tab/>
        <w:t xml:space="preserve">70-100% </w:t>
      </w:r>
    </w:p>
    <w:p w14:paraId="028BFAE3" w14:textId="77777777" w:rsidR="00FC7B55" w:rsidRPr="00FC7B55" w:rsidRDefault="00FC7B55" w:rsidP="00FC7B55">
      <w:pPr>
        <w:tabs>
          <w:tab w:val="left" w:pos="720"/>
          <w:tab w:val="center" w:pos="262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ADP</w:t>
      </w:r>
      <w:r w:rsidRPr="00FC7B55">
        <w:rPr>
          <w:rFonts w:ascii="Arial MT Std" w:hAnsi="Arial MT Std" w:cs="Arial MT Std"/>
          <w:color w:val="000000"/>
          <w:spacing w:val="-1"/>
          <w:sz w:val="12"/>
          <w:szCs w:val="12"/>
        </w:rPr>
        <w:tab/>
        <w:t>86-100%</w:t>
      </w:r>
    </w:p>
    <w:p w14:paraId="4F249567"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PERFORMANCE CHARACTERISTICS</w:t>
      </w:r>
    </w:p>
    <w:p w14:paraId="49848070"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b/>
          <w:bCs/>
          <w:color w:val="000000"/>
          <w:spacing w:val="-1"/>
          <w:sz w:val="12"/>
          <w:szCs w:val="12"/>
        </w:rPr>
        <w:t>Correlation Study</w:t>
      </w:r>
    </w:p>
    <w:p w14:paraId="7B40285E"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Correlation of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to platelet aggregometry on platelet rich plasma (PRP) is supported by data generated by testing male and female adults, between the ages of 18 and 85, at three clinical sites. This includes normal, healthy volunteers, patients undergoing cardiopulmonary bypass surgery, and patients undergoing cardiac </w:t>
      </w:r>
      <w:proofErr w:type="spellStart"/>
      <w:r w:rsidRPr="00FC7B55">
        <w:rPr>
          <w:rFonts w:ascii="Arial MT Std" w:hAnsi="Arial MT Std" w:cs="Arial MT Std"/>
          <w:color w:val="000000"/>
          <w:spacing w:val="-1"/>
          <w:sz w:val="12"/>
          <w:szCs w:val="12"/>
        </w:rPr>
        <w:t>catherization</w:t>
      </w:r>
      <w:proofErr w:type="spellEnd"/>
      <w:r w:rsidRPr="00FC7B55">
        <w:rPr>
          <w:rFonts w:ascii="Arial MT Std" w:hAnsi="Arial MT Std" w:cs="Arial MT Std"/>
          <w:color w:val="000000"/>
          <w:spacing w:val="-1"/>
          <w:sz w:val="12"/>
          <w:szCs w:val="12"/>
        </w:rPr>
        <w:t>.</w:t>
      </w:r>
    </w:p>
    <w:p w14:paraId="67599CA0"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All blood samples were acquired from in-dwelling lines or venipuncture using established methods. For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assays and PRP aggregometry, the manufacturers’ recommendations were adhered to as per instructions provided in the package insert.</w:t>
      </w:r>
    </w:p>
    <w:p w14:paraId="73DA9757"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2"/>
          <w:sz w:val="12"/>
          <w:szCs w:val="12"/>
        </w:rPr>
      </w:pPr>
      <w:r w:rsidRPr="00FC7B55">
        <w:rPr>
          <w:rFonts w:ascii="Arial MT Std" w:hAnsi="Arial MT Std" w:cs="Arial MT Std"/>
          <w:color w:val="000000"/>
          <w:spacing w:val="-2"/>
          <w:sz w:val="12"/>
          <w:szCs w:val="12"/>
        </w:rPr>
        <w:t>Regression analysis (correlation coefficients) was performed to assess the agreement between the two methods. A positive correlation was demonstrated for each agonist. See Figures 1 and 2.</w:t>
      </w:r>
    </w:p>
    <w:p w14:paraId="23ECD00E" w14:textId="5742DD5A"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2"/>
          <w:sz w:val="12"/>
          <w:szCs w:val="12"/>
        </w:rPr>
      </w:pPr>
      <w:r w:rsidRPr="00FC7B55">
        <w:rPr>
          <w:rFonts w:ascii="Arial MT Std" w:hAnsi="Arial MT Std" w:cs="Arial MT Std"/>
          <w:color w:val="000000"/>
          <w:spacing w:val="-2"/>
          <w:sz w:val="12"/>
          <w:szCs w:val="12"/>
        </w:rPr>
        <w:drawing>
          <wp:inline distT="0" distB="0" distL="0" distR="0" wp14:anchorId="3B32A36E" wp14:editId="20B495B8">
            <wp:extent cx="2768600" cy="1663700"/>
            <wp:effectExtent l="0" t="0" r="0" b="0"/>
            <wp:docPr id="11824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909" name=""/>
                    <pic:cNvPicPr/>
                  </pic:nvPicPr>
                  <pic:blipFill>
                    <a:blip r:embed="rId6"/>
                    <a:stretch>
                      <a:fillRect/>
                    </a:stretch>
                  </pic:blipFill>
                  <pic:spPr>
                    <a:xfrm>
                      <a:off x="0" y="0"/>
                      <a:ext cx="2768600" cy="1663700"/>
                    </a:xfrm>
                    <a:prstGeom prst="rect">
                      <a:avLst/>
                    </a:prstGeom>
                  </pic:spPr>
                </pic:pic>
              </a:graphicData>
            </a:graphic>
          </wp:inline>
        </w:drawing>
      </w:r>
    </w:p>
    <w:p w14:paraId="4EF66ED8"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p>
    <w:p w14:paraId="5F07326D"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Figure 1: ADP</w:t>
      </w:r>
    </w:p>
    <w:p w14:paraId="70BFE5DF" w14:textId="77777777" w:rsid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drawing>
          <wp:inline distT="0" distB="0" distL="0" distR="0" wp14:anchorId="6FD81B4A" wp14:editId="509BD959">
            <wp:extent cx="2768600" cy="1587500"/>
            <wp:effectExtent l="0" t="0" r="0" b="0"/>
            <wp:docPr id="77446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62573" name=""/>
                    <pic:cNvPicPr/>
                  </pic:nvPicPr>
                  <pic:blipFill>
                    <a:blip r:embed="rId7"/>
                    <a:stretch>
                      <a:fillRect/>
                    </a:stretch>
                  </pic:blipFill>
                  <pic:spPr>
                    <a:xfrm>
                      <a:off x="0" y="0"/>
                      <a:ext cx="2768600" cy="1587500"/>
                    </a:xfrm>
                    <a:prstGeom prst="rect">
                      <a:avLst/>
                    </a:prstGeom>
                  </pic:spPr>
                </pic:pic>
              </a:graphicData>
            </a:graphic>
          </wp:inline>
        </w:drawing>
      </w:r>
    </w:p>
    <w:p w14:paraId="6269FCCF" w14:textId="1BCBB3DD"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1"/>
          <w:sz w:val="12"/>
          <w:szCs w:val="12"/>
        </w:rPr>
        <w:t>Figure 2: Collagen</w:t>
      </w:r>
    </w:p>
    <w:p w14:paraId="171482B8"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However, it is recognized that correlation coefficients measure the strength of the relationship between the methods and not the agreement between them.</w:t>
      </w:r>
      <w:r w:rsidRPr="00FC7B55">
        <w:rPr>
          <w:rFonts w:ascii="Arial MT Std" w:hAnsi="Arial MT Std" w:cs="Arial MT Std"/>
          <w:color w:val="000000"/>
          <w:spacing w:val="-1"/>
          <w:sz w:val="12"/>
          <w:szCs w:val="12"/>
          <w:vertAlign w:val="superscript"/>
        </w:rPr>
        <w:t>2</w:t>
      </w:r>
      <w:r w:rsidRPr="00FC7B55">
        <w:rPr>
          <w:rFonts w:ascii="Arial MT Std" w:hAnsi="Arial MT Std" w:cs="Arial MT Std"/>
          <w:color w:val="000000"/>
          <w:spacing w:val="-1"/>
          <w:sz w:val="12"/>
          <w:szCs w:val="12"/>
        </w:rPr>
        <w:t xml:space="preserve"> Further, since the aggregation system is bounded by 100% as the upper limit of aggregation regression analysis is not expected to describe a predictive relationship. Therefore, the data from the clinical sites where substantial equivalence testing was performed were also subjected to the non-parametric analysis of Spearman Rho which “tests for a positive correlation without specifying linearity”. The results from these analyses are shown (with the regression analysis).</w:t>
      </w:r>
    </w:p>
    <w:p w14:paraId="08E78771" w14:textId="77777777" w:rsidR="00FC7B55" w:rsidRPr="00FC7B55" w:rsidRDefault="00FC7B55" w:rsidP="00FC7B55">
      <w:pPr>
        <w:tabs>
          <w:tab w:val="center" w:pos="860"/>
          <w:tab w:val="center" w:pos="2000"/>
          <w:tab w:val="center" w:pos="2660"/>
          <w:tab w:val="center" w:pos="3500"/>
        </w:tabs>
        <w:suppressAutoHyphens/>
        <w:autoSpaceDE w:val="0"/>
        <w:autoSpaceDN w:val="0"/>
        <w:adjustRightInd w:val="0"/>
        <w:spacing w:line="288" w:lineRule="auto"/>
        <w:textAlignment w:val="center"/>
        <w:rPr>
          <w:rFonts w:ascii="Arial MT Std" w:hAnsi="Arial MT Std" w:cs="Arial MT Std"/>
          <w:b/>
          <w:bCs/>
          <w:color w:val="000000"/>
          <w:spacing w:val="-1"/>
          <w:sz w:val="12"/>
          <w:szCs w:val="12"/>
        </w:rPr>
      </w:pPr>
      <w:r w:rsidRPr="00FC7B55">
        <w:rPr>
          <w:rFonts w:ascii="Arial MT Std" w:hAnsi="Arial MT Std" w:cs="Arial MT Std"/>
          <w:b/>
          <w:bCs/>
          <w:color w:val="000000"/>
          <w:spacing w:val="-1"/>
          <w:sz w:val="12"/>
          <w:szCs w:val="12"/>
        </w:rPr>
        <w:tab/>
        <w:t>Comparative Data:</w:t>
      </w:r>
      <w:r w:rsidRPr="00FC7B55">
        <w:rPr>
          <w:rFonts w:ascii="Arial MT Std" w:hAnsi="Arial MT Std" w:cs="Arial MT Std"/>
          <w:b/>
          <w:bCs/>
          <w:color w:val="000000"/>
          <w:spacing w:val="-1"/>
          <w:sz w:val="12"/>
          <w:szCs w:val="12"/>
        </w:rPr>
        <w:tab/>
      </w:r>
      <w:proofErr w:type="spellStart"/>
      <w:r w:rsidRPr="00FC7B55">
        <w:rPr>
          <w:rFonts w:ascii="Arial MT Std" w:hAnsi="Arial MT Std" w:cs="Arial MT Std"/>
          <w:b/>
          <w:bCs/>
          <w:color w:val="000000"/>
          <w:spacing w:val="-1"/>
          <w:sz w:val="12"/>
          <w:szCs w:val="12"/>
        </w:rPr>
        <w:t>Plateletworks</w:t>
      </w:r>
      <w:proofErr w:type="spellEnd"/>
      <w:r w:rsidRPr="00FC7B55">
        <w:rPr>
          <w:rFonts w:ascii="Arial MT Std" w:hAnsi="Arial MT Std" w:cs="Arial MT Std"/>
          <w:b/>
          <w:bCs/>
          <w:color w:val="000000"/>
          <w:spacing w:val="-1"/>
          <w:sz w:val="12"/>
          <w:szCs w:val="12"/>
        </w:rPr>
        <w:tab/>
        <w:t>vs</w:t>
      </w:r>
      <w:r w:rsidRPr="00FC7B55">
        <w:rPr>
          <w:rFonts w:ascii="Arial MT Std" w:hAnsi="Arial MT Std" w:cs="Arial MT Std"/>
          <w:b/>
          <w:bCs/>
          <w:color w:val="000000"/>
          <w:spacing w:val="-1"/>
          <w:sz w:val="12"/>
          <w:szCs w:val="12"/>
        </w:rPr>
        <w:tab/>
        <w:t>PRP Aggregometry</w:t>
      </w:r>
    </w:p>
    <w:p w14:paraId="3543AF2D" w14:textId="77777777" w:rsidR="00FC7B55" w:rsidRPr="00FC7B55" w:rsidRDefault="00FC7B55" w:rsidP="00FC7B55">
      <w:pPr>
        <w:pBdr>
          <w:bottom w:val="single" w:sz="4" w:space="1" w:color="000000"/>
        </w:pBdr>
        <w:tabs>
          <w:tab w:val="center" w:pos="860"/>
          <w:tab w:val="center" w:pos="2000"/>
          <w:tab w:val="center" w:pos="2660"/>
          <w:tab w:val="center" w:pos="3500"/>
        </w:tabs>
        <w:suppressAutoHyphens/>
        <w:autoSpaceDE w:val="0"/>
        <w:autoSpaceDN w:val="0"/>
        <w:adjustRightInd w:val="0"/>
        <w:spacing w:line="288" w:lineRule="auto"/>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N</w:t>
      </w:r>
      <w:r w:rsidRPr="00FC7B55">
        <w:rPr>
          <w:rFonts w:ascii="Arial MT Std" w:hAnsi="Arial MT Std" w:cs="Arial MT Std"/>
          <w:color w:val="000000"/>
          <w:spacing w:val="-1"/>
          <w:sz w:val="12"/>
          <w:szCs w:val="12"/>
        </w:rPr>
        <w:tab/>
        <w:t>(Pearson)r</w:t>
      </w:r>
      <w:r w:rsidRPr="00FC7B55">
        <w:rPr>
          <w:rFonts w:ascii="Arial MT Std" w:hAnsi="Arial MT Std" w:cs="Arial MT Std"/>
          <w:color w:val="000000"/>
          <w:spacing w:val="-1"/>
          <w:sz w:val="12"/>
          <w:szCs w:val="12"/>
        </w:rPr>
        <w:tab/>
      </w:r>
      <w:r w:rsidRPr="00FC7B55">
        <w:rPr>
          <w:rFonts w:ascii="Arial MT Std" w:hAnsi="Arial MT Std" w:cs="Arial MT Std"/>
          <w:color w:val="000000"/>
          <w:spacing w:val="-1"/>
          <w:sz w:val="12"/>
          <w:szCs w:val="12"/>
        </w:rPr>
        <w:tab/>
        <w:t>Spearman Rho</w:t>
      </w:r>
    </w:p>
    <w:p w14:paraId="00A422E0" w14:textId="77777777" w:rsidR="00FC7B55" w:rsidRPr="00FC7B55" w:rsidRDefault="00FC7B55" w:rsidP="00FC7B55">
      <w:pPr>
        <w:tabs>
          <w:tab w:val="center" w:pos="860"/>
          <w:tab w:val="center" w:pos="2000"/>
          <w:tab w:val="center" w:pos="2660"/>
          <w:tab w:val="center" w:pos="35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ADP</w:t>
      </w:r>
      <w:r w:rsidRPr="00FC7B55">
        <w:rPr>
          <w:rFonts w:ascii="Arial MT Std" w:hAnsi="Arial MT Std" w:cs="Arial MT Std"/>
          <w:color w:val="000000"/>
          <w:spacing w:val="-1"/>
          <w:sz w:val="12"/>
          <w:szCs w:val="12"/>
        </w:rPr>
        <w:tab/>
        <w:t>225</w:t>
      </w:r>
      <w:r w:rsidRPr="00FC7B55">
        <w:rPr>
          <w:rFonts w:ascii="Arial MT Std" w:hAnsi="Arial MT Std" w:cs="Arial MT Std"/>
          <w:color w:val="000000"/>
          <w:spacing w:val="-1"/>
          <w:sz w:val="12"/>
          <w:szCs w:val="12"/>
        </w:rPr>
        <w:tab/>
        <w:t>0.83*</w:t>
      </w:r>
      <w:r w:rsidRPr="00FC7B55">
        <w:rPr>
          <w:rFonts w:ascii="Arial MT Std" w:hAnsi="Arial MT Std" w:cs="Arial MT Std"/>
          <w:color w:val="000000"/>
          <w:spacing w:val="-1"/>
          <w:sz w:val="12"/>
          <w:szCs w:val="12"/>
        </w:rPr>
        <w:tab/>
      </w:r>
      <w:r w:rsidRPr="00FC7B55">
        <w:rPr>
          <w:rFonts w:ascii="Arial MT Std" w:hAnsi="Arial MT Std" w:cs="Arial MT Std"/>
          <w:color w:val="000000"/>
          <w:spacing w:val="-1"/>
          <w:sz w:val="12"/>
          <w:szCs w:val="12"/>
        </w:rPr>
        <w:tab/>
        <w:t>0.68*</w:t>
      </w:r>
      <w:r w:rsidRPr="00FC7B55">
        <w:rPr>
          <w:rFonts w:ascii="Arial MT Std" w:hAnsi="Arial MT Std" w:cs="Arial MT Std"/>
          <w:color w:val="000000"/>
          <w:spacing w:val="-1"/>
          <w:sz w:val="12"/>
          <w:szCs w:val="12"/>
        </w:rPr>
        <w:tab/>
      </w:r>
    </w:p>
    <w:p w14:paraId="33DA9077"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*P &lt; 0.001 two-sided test of positive association significant </w:t>
      </w:r>
    </w:p>
    <w:p w14:paraId="62E4FBB2" w14:textId="77777777" w:rsidR="00FC7B55" w:rsidRPr="00FC7B55" w:rsidRDefault="00FC7B55" w:rsidP="00FC7B55">
      <w:pPr>
        <w:tabs>
          <w:tab w:val="center" w:pos="860"/>
          <w:tab w:val="center" w:pos="2000"/>
          <w:tab w:val="center" w:pos="2660"/>
          <w:tab w:val="center" w:pos="3500"/>
        </w:tabs>
        <w:suppressAutoHyphens/>
        <w:autoSpaceDE w:val="0"/>
        <w:autoSpaceDN w:val="0"/>
        <w:adjustRightInd w:val="0"/>
        <w:spacing w:line="288" w:lineRule="auto"/>
        <w:textAlignment w:val="center"/>
        <w:rPr>
          <w:rFonts w:ascii="Arial MT Std" w:hAnsi="Arial MT Std" w:cs="Arial MT Std"/>
          <w:b/>
          <w:bCs/>
          <w:color w:val="000000"/>
          <w:spacing w:val="-1"/>
          <w:sz w:val="12"/>
          <w:szCs w:val="12"/>
        </w:rPr>
      </w:pPr>
      <w:r w:rsidRPr="00FC7B55">
        <w:rPr>
          <w:rFonts w:ascii="Arial MT Std" w:hAnsi="Arial MT Std" w:cs="Arial MT Std"/>
          <w:b/>
          <w:bCs/>
          <w:color w:val="000000"/>
          <w:spacing w:val="-1"/>
          <w:sz w:val="12"/>
          <w:szCs w:val="12"/>
        </w:rPr>
        <w:tab/>
        <w:t>Comparative Data:</w:t>
      </w:r>
      <w:r w:rsidRPr="00FC7B55">
        <w:rPr>
          <w:rFonts w:ascii="Arial MT Std" w:hAnsi="Arial MT Std" w:cs="Arial MT Std"/>
          <w:b/>
          <w:bCs/>
          <w:color w:val="000000"/>
          <w:spacing w:val="-1"/>
          <w:sz w:val="12"/>
          <w:szCs w:val="12"/>
        </w:rPr>
        <w:tab/>
        <w:t>Liquid Collagen</w:t>
      </w:r>
      <w:r w:rsidRPr="00FC7B55">
        <w:rPr>
          <w:rFonts w:ascii="Arial MT Std" w:hAnsi="Arial MT Std" w:cs="Arial MT Std"/>
          <w:b/>
          <w:bCs/>
          <w:color w:val="000000"/>
          <w:spacing w:val="-1"/>
          <w:sz w:val="12"/>
          <w:szCs w:val="12"/>
        </w:rPr>
        <w:tab/>
        <w:t>vs</w:t>
      </w:r>
      <w:r w:rsidRPr="00FC7B55">
        <w:rPr>
          <w:rFonts w:ascii="Arial MT Std" w:hAnsi="Arial MT Std" w:cs="Arial MT Std"/>
          <w:b/>
          <w:bCs/>
          <w:color w:val="000000"/>
          <w:spacing w:val="-1"/>
          <w:sz w:val="12"/>
          <w:szCs w:val="12"/>
        </w:rPr>
        <w:tab/>
        <w:t>Lyophilized Collagen</w:t>
      </w:r>
    </w:p>
    <w:p w14:paraId="0598D889" w14:textId="77777777" w:rsidR="00FC7B55" w:rsidRPr="00FC7B55" w:rsidRDefault="00FC7B55" w:rsidP="00FC7B55">
      <w:pPr>
        <w:pBdr>
          <w:bottom w:val="single" w:sz="4" w:space="1" w:color="000000"/>
        </w:pBdr>
        <w:tabs>
          <w:tab w:val="center" w:pos="860"/>
          <w:tab w:val="center" w:pos="2000"/>
          <w:tab w:val="center" w:pos="2660"/>
          <w:tab w:val="center" w:pos="35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ab/>
        <w:t>N</w:t>
      </w:r>
      <w:r w:rsidRPr="00FC7B55">
        <w:rPr>
          <w:rFonts w:ascii="Arial MT Std" w:hAnsi="Arial MT Std" w:cs="Arial MT Std"/>
          <w:color w:val="000000"/>
          <w:spacing w:val="-1"/>
          <w:sz w:val="12"/>
          <w:szCs w:val="12"/>
        </w:rPr>
        <w:tab/>
        <w:t>(Pearson)r</w:t>
      </w:r>
      <w:r w:rsidRPr="00FC7B55">
        <w:rPr>
          <w:rFonts w:ascii="Arial MT Std" w:hAnsi="Arial MT Std" w:cs="Arial MT Std"/>
          <w:color w:val="000000"/>
          <w:spacing w:val="-1"/>
          <w:sz w:val="12"/>
          <w:szCs w:val="12"/>
        </w:rPr>
        <w:tab/>
      </w:r>
      <w:r w:rsidRPr="00FC7B55">
        <w:rPr>
          <w:rFonts w:ascii="Arial MT Std" w:hAnsi="Arial MT Std" w:cs="Arial MT Std"/>
          <w:color w:val="000000"/>
          <w:spacing w:val="-1"/>
          <w:sz w:val="12"/>
          <w:szCs w:val="12"/>
        </w:rPr>
        <w:tab/>
        <w:t>Spearman Rho</w:t>
      </w:r>
    </w:p>
    <w:p w14:paraId="53B7BB1D" w14:textId="77777777" w:rsidR="00FC7B55" w:rsidRPr="00FC7B55" w:rsidRDefault="00FC7B55" w:rsidP="00FC7B55">
      <w:pPr>
        <w:tabs>
          <w:tab w:val="center" w:pos="860"/>
          <w:tab w:val="center" w:pos="2000"/>
          <w:tab w:val="center" w:pos="2660"/>
          <w:tab w:val="center" w:pos="35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Collagen</w:t>
      </w:r>
      <w:r w:rsidRPr="00FC7B55">
        <w:rPr>
          <w:rFonts w:ascii="Arial MT Std" w:hAnsi="Arial MT Std" w:cs="Arial MT Std"/>
          <w:color w:val="000000"/>
          <w:spacing w:val="-1"/>
          <w:sz w:val="12"/>
          <w:szCs w:val="12"/>
        </w:rPr>
        <w:tab/>
        <w:t>154</w:t>
      </w:r>
      <w:r w:rsidRPr="00FC7B55">
        <w:rPr>
          <w:rFonts w:ascii="Arial MT Std" w:hAnsi="Arial MT Std" w:cs="Arial MT Std"/>
          <w:color w:val="000000"/>
          <w:spacing w:val="-1"/>
          <w:sz w:val="12"/>
          <w:szCs w:val="12"/>
        </w:rPr>
        <w:tab/>
        <w:t>0.89*</w:t>
      </w:r>
      <w:r w:rsidRPr="00FC7B55">
        <w:rPr>
          <w:rFonts w:ascii="Arial MT Std" w:hAnsi="Arial MT Std" w:cs="Arial MT Std"/>
          <w:color w:val="000000"/>
          <w:spacing w:val="-1"/>
          <w:sz w:val="12"/>
          <w:szCs w:val="12"/>
        </w:rPr>
        <w:tab/>
      </w:r>
      <w:r w:rsidRPr="00FC7B55">
        <w:rPr>
          <w:rFonts w:ascii="Arial MT Std" w:hAnsi="Arial MT Std" w:cs="Arial MT Std"/>
          <w:color w:val="000000"/>
          <w:spacing w:val="-1"/>
          <w:sz w:val="12"/>
          <w:szCs w:val="12"/>
        </w:rPr>
        <w:tab/>
        <w:t>0.88*</w:t>
      </w:r>
    </w:p>
    <w:p w14:paraId="4A921BFB" w14:textId="77777777" w:rsidR="00FC7B55" w:rsidRPr="00FC7B55" w:rsidRDefault="00FC7B55" w:rsidP="00FC7B55">
      <w:pPr>
        <w:tabs>
          <w:tab w:val="left" w:pos="200"/>
        </w:tabs>
        <w:suppressAutoHyphens/>
        <w:autoSpaceDE w:val="0"/>
        <w:autoSpaceDN w:val="0"/>
        <w:adjustRightInd w:val="0"/>
        <w:spacing w:after="40"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*P &lt; 0.001 two-sided test of positive association significant </w:t>
      </w:r>
    </w:p>
    <w:p w14:paraId="62483ADB"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b/>
          <w:bCs/>
          <w:color w:val="000000"/>
          <w:spacing w:val="-1"/>
          <w:sz w:val="12"/>
          <w:szCs w:val="12"/>
        </w:rPr>
        <w:t>Note:</w:t>
      </w:r>
      <w:r w:rsidRPr="00FC7B55">
        <w:rPr>
          <w:rFonts w:ascii="Arial MT Std" w:hAnsi="Arial MT Std" w:cs="Arial MT Std"/>
          <w:color w:val="000000"/>
          <w:spacing w:val="-1"/>
          <w:sz w:val="12"/>
          <w:szCs w:val="12"/>
        </w:rPr>
        <w:t xml:space="preserve"> Thrombocytopenic samples may be tested using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As this system utilizes electrical impedance cell counting principles (i.e., Ichor II Analyzer), instrument platelet counts &gt; 10 x 10</w:t>
      </w:r>
      <w:r w:rsidRPr="00FC7B55">
        <w:rPr>
          <w:rFonts w:ascii="Arial MT Std" w:hAnsi="Arial MT Std" w:cs="Arial MT Std"/>
          <w:color w:val="000000"/>
          <w:sz w:val="12"/>
          <w:szCs w:val="12"/>
          <w:vertAlign w:val="superscript"/>
        </w:rPr>
        <w:t>3</w:t>
      </w:r>
      <w:r w:rsidRPr="00FC7B55">
        <w:rPr>
          <w:rFonts w:ascii="Arial MT Std" w:hAnsi="Arial MT Std" w:cs="Arial MT Std"/>
          <w:color w:val="000000"/>
          <w:spacing w:val="-1"/>
          <w:sz w:val="12"/>
          <w:szCs w:val="12"/>
        </w:rPr>
        <w:t>/</w:t>
      </w:r>
      <w:r w:rsidRPr="00FC7B55">
        <w:rPr>
          <w:rFonts w:ascii="Symbol" w:hAnsi="Symbol" w:cs="Symbol"/>
          <w:color w:val="000000"/>
          <w:spacing w:val="-1"/>
          <w:sz w:val="12"/>
          <w:szCs w:val="12"/>
        </w:rPr>
        <w:t>m</w:t>
      </w:r>
      <w:r w:rsidRPr="00FC7B55">
        <w:rPr>
          <w:rFonts w:ascii="Arial MT Std" w:hAnsi="Arial MT Std" w:cs="Arial MT Std"/>
          <w:color w:val="000000"/>
          <w:spacing w:val="-1"/>
          <w:sz w:val="12"/>
          <w:szCs w:val="12"/>
        </w:rPr>
        <w:t>L can be accurately obtained. Agonist platelet counts can be measured in samples meeting the limits of aggregation detection (&gt; 27 x 10</w:t>
      </w:r>
      <w:r w:rsidRPr="00FC7B55">
        <w:rPr>
          <w:rFonts w:ascii="Arial MT Std" w:hAnsi="Arial MT Std" w:cs="Arial MT Std"/>
          <w:color w:val="000000"/>
          <w:sz w:val="12"/>
          <w:szCs w:val="12"/>
          <w:vertAlign w:val="superscript"/>
        </w:rPr>
        <w:t>3</w:t>
      </w:r>
      <w:r w:rsidRPr="00FC7B55">
        <w:rPr>
          <w:rFonts w:ascii="Arial MT Std" w:hAnsi="Arial MT Std" w:cs="Arial MT Std"/>
          <w:color w:val="000000"/>
          <w:spacing w:val="-1"/>
          <w:sz w:val="12"/>
          <w:szCs w:val="12"/>
        </w:rPr>
        <w:t>/</w:t>
      </w:r>
      <w:r w:rsidRPr="00FC7B55">
        <w:rPr>
          <w:rFonts w:ascii="Symbol" w:hAnsi="Symbol" w:cs="Symbol"/>
          <w:color w:val="000000"/>
          <w:spacing w:val="-1"/>
          <w:sz w:val="12"/>
          <w:szCs w:val="12"/>
        </w:rPr>
        <w:t>m</w:t>
      </w:r>
      <w:r w:rsidRPr="00FC7B55">
        <w:rPr>
          <w:rFonts w:ascii="Arial MT Std" w:hAnsi="Arial MT Std" w:cs="Arial MT Std"/>
          <w:color w:val="000000"/>
          <w:spacing w:val="-1"/>
          <w:sz w:val="12"/>
          <w:szCs w:val="12"/>
        </w:rPr>
        <w:t xml:space="preserve">L). Although EDTA-induced thrombocytopenic samples may be tested using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no actual testing was performed on this sample type.</w:t>
      </w:r>
    </w:p>
    <w:p w14:paraId="0806D920" w14:textId="77777777" w:rsidR="00FC7B55" w:rsidRPr="00FC7B55" w:rsidRDefault="00FC7B55" w:rsidP="00FC7B55">
      <w:pPr>
        <w:suppressAutoHyphens/>
        <w:autoSpaceDE w:val="0"/>
        <w:autoSpaceDN w:val="0"/>
        <w:adjustRightInd w:val="0"/>
        <w:spacing w:before="40"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Precision</w:t>
      </w:r>
    </w:p>
    <w:p w14:paraId="09C453E1"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Precision of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was determined in two ways. First, a sample from a single healthy volunteer was tested on each of ten days with the agonist. (Although the samples were drawn from the same individual, some differences are to be expected due to diurnal physiological variation.) The coefficients of variation </w:t>
      </w:r>
      <w:proofErr w:type="gramStart"/>
      <w:r w:rsidRPr="00FC7B55">
        <w:rPr>
          <w:rFonts w:ascii="Arial MT Std" w:hAnsi="Arial MT Std" w:cs="Arial MT Std"/>
          <w:color w:val="000000"/>
          <w:spacing w:val="-1"/>
          <w:sz w:val="12"/>
          <w:szCs w:val="12"/>
        </w:rPr>
        <w:t>was</w:t>
      </w:r>
      <w:proofErr w:type="gramEnd"/>
      <w:r w:rsidRPr="00FC7B55">
        <w:rPr>
          <w:rFonts w:ascii="Arial MT Std" w:hAnsi="Arial MT Std" w:cs="Arial MT Std"/>
          <w:color w:val="000000"/>
          <w:spacing w:val="-1"/>
          <w:sz w:val="12"/>
          <w:szCs w:val="12"/>
        </w:rPr>
        <w:t xml:space="preserve"> 5.1% for ADP and 5.9% for Collagen.</w:t>
      </w:r>
    </w:p>
    <w:p w14:paraId="4BD29B81"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Additionally, 10 sample aliquots from a single healthy volunteer were tested during a </w:t>
      </w:r>
      <w:proofErr w:type="gramStart"/>
      <w:r w:rsidRPr="00FC7B55">
        <w:rPr>
          <w:rFonts w:ascii="Arial MT Std" w:hAnsi="Arial MT Std" w:cs="Arial MT Std"/>
          <w:color w:val="000000"/>
          <w:spacing w:val="-1"/>
          <w:sz w:val="12"/>
          <w:szCs w:val="12"/>
        </w:rPr>
        <w:t>20 minute</w:t>
      </w:r>
      <w:proofErr w:type="gramEnd"/>
      <w:r w:rsidRPr="00FC7B55">
        <w:rPr>
          <w:rFonts w:ascii="Arial MT Std" w:hAnsi="Arial MT Std" w:cs="Arial MT Std"/>
          <w:color w:val="000000"/>
          <w:spacing w:val="-1"/>
          <w:sz w:val="12"/>
          <w:szCs w:val="12"/>
        </w:rPr>
        <w:t xml:space="preserve"> interval with the agonist. The coefficients of variation </w:t>
      </w:r>
      <w:proofErr w:type="gramStart"/>
      <w:r w:rsidRPr="00FC7B55">
        <w:rPr>
          <w:rFonts w:ascii="Arial MT Std" w:hAnsi="Arial MT Std" w:cs="Arial MT Std"/>
          <w:color w:val="000000"/>
          <w:spacing w:val="-1"/>
          <w:sz w:val="12"/>
          <w:szCs w:val="12"/>
        </w:rPr>
        <w:t>was</w:t>
      </w:r>
      <w:proofErr w:type="gramEnd"/>
      <w:r w:rsidRPr="00FC7B55">
        <w:rPr>
          <w:rFonts w:ascii="Arial MT Std" w:hAnsi="Arial MT Std" w:cs="Arial MT Std"/>
          <w:color w:val="000000"/>
          <w:spacing w:val="-1"/>
          <w:sz w:val="12"/>
          <w:szCs w:val="12"/>
        </w:rPr>
        <w:t xml:space="preserve"> 4.1% for ADP and 4.9% for Collagen.</w:t>
      </w:r>
    </w:p>
    <w:p w14:paraId="69A4899D"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2"/>
          <w:szCs w:val="12"/>
        </w:rPr>
      </w:pPr>
      <w:r w:rsidRPr="00FC7B55">
        <w:rPr>
          <w:rFonts w:ascii="Arial MT Std" w:hAnsi="Arial MT Std" w:cs="Arial MT Std"/>
          <w:color w:val="000000"/>
          <w:spacing w:val="-1"/>
          <w:sz w:val="12"/>
          <w:szCs w:val="12"/>
        </w:rPr>
        <w:t xml:space="preserve">This data supports the reproducibility of the </w:t>
      </w:r>
      <w:proofErr w:type="spellStart"/>
      <w:r w:rsidRPr="00FC7B55">
        <w:rPr>
          <w:rFonts w:ascii="Arial MT Std" w:hAnsi="Arial MT Std" w:cs="Arial MT Std"/>
          <w:color w:val="000000"/>
          <w:spacing w:val="-1"/>
          <w:sz w:val="12"/>
          <w:szCs w:val="12"/>
        </w:rPr>
        <w:t>Plateletworks</w:t>
      </w:r>
      <w:proofErr w:type="spellEnd"/>
      <w:r w:rsidRPr="00FC7B55">
        <w:rPr>
          <w:rFonts w:ascii="Arial MT Std" w:hAnsi="Arial MT Std" w:cs="Arial MT Std"/>
          <w:color w:val="000000"/>
          <w:spacing w:val="-1"/>
          <w:sz w:val="12"/>
          <w:szCs w:val="12"/>
        </w:rPr>
        <w:t xml:space="preserve"> assay. Thus, duplicate testing on a routine basis is not required. Nonetheless, any questionable test result should be repeated, and performed in duplicate.</w:t>
      </w:r>
    </w:p>
    <w:p w14:paraId="68403F7F" w14:textId="77777777" w:rsidR="00FC7B55" w:rsidRPr="00FC7B55" w:rsidRDefault="00FC7B55" w:rsidP="00FC7B55">
      <w:pPr>
        <w:autoSpaceDE w:val="0"/>
        <w:autoSpaceDN w:val="0"/>
        <w:adjustRightInd w:val="0"/>
        <w:spacing w:before="20" w:line="288" w:lineRule="auto"/>
        <w:textAlignment w:val="center"/>
        <w:rPr>
          <w:rFonts w:ascii="Arial MT Std" w:hAnsi="Arial MT Std" w:cs="Arial MT Std"/>
          <w:b/>
          <w:bCs/>
          <w:caps/>
          <w:color w:val="000000"/>
          <w:sz w:val="14"/>
          <w:szCs w:val="14"/>
        </w:rPr>
      </w:pPr>
      <w:r w:rsidRPr="00FC7B55">
        <w:rPr>
          <w:rFonts w:ascii="Arial MT Std" w:hAnsi="Arial MT Std" w:cs="Arial MT Std"/>
          <w:b/>
          <w:bCs/>
          <w:caps/>
          <w:color w:val="000000"/>
          <w:sz w:val="14"/>
          <w:szCs w:val="14"/>
        </w:rPr>
        <w:t>BIBLIOGRAPHY</w:t>
      </w:r>
    </w:p>
    <w:p w14:paraId="03D0E7D2"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proofErr w:type="spellStart"/>
      <w:r w:rsidRPr="00FC7B55">
        <w:rPr>
          <w:rFonts w:ascii="Arial MT Std" w:hAnsi="Arial MT Std" w:cs="Arial MT Std"/>
          <w:b/>
          <w:bCs/>
          <w:color w:val="000000"/>
          <w:sz w:val="12"/>
          <w:szCs w:val="12"/>
        </w:rPr>
        <w:lastRenderedPageBreak/>
        <w:t>Bibliografia</w:t>
      </w:r>
      <w:proofErr w:type="spellEnd"/>
      <w:r w:rsidRPr="00FC7B55">
        <w:rPr>
          <w:rFonts w:ascii="Arial MT Std" w:hAnsi="Arial MT Std" w:cs="Arial MT Std"/>
          <w:b/>
          <w:bCs/>
          <w:color w:val="000000"/>
          <w:sz w:val="12"/>
          <w:szCs w:val="12"/>
        </w:rPr>
        <w:t>/</w:t>
      </w:r>
      <w:proofErr w:type="spellStart"/>
      <w:r w:rsidRPr="00FC7B55">
        <w:rPr>
          <w:rFonts w:ascii="Arial MT Std" w:hAnsi="Arial MT Std" w:cs="Arial MT Std"/>
          <w:b/>
          <w:bCs/>
          <w:color w:val="000000"/>
          <w:sz w:val="12"/>
          <w:szCs w:val="12"/>
        </w:rPr>
        <w:t>Bibliographie</w:t>
      </w:r>
      <w:proofErr w:type="spellEnd"/>
      <w:r w:rsidRPr="00FC7B55">
        <w:rPr>
          <w:rFonts w:ascii="Arial MT Std" w:hAnsi="Arial MT Std" w:cs="Arial MT Std"/>
          <w:b/>
          <w:bCs/>
          <w:color w:val="000000"/>
          <w:sz w:val="12"/>
          <w:szCs w:val="12"/>
        </w:rPr>
        <w:t>/</w:t>
      </w:r>
      <w:proofErr w:type="spellStart"/>
      <w:r w:rsidRPr="00FC7B55">
        <w:rPr>
          <w:rFonts w:ascii="Arial MT Std" w:hAnsi="Arial MT Std" w:cs="Arial MT Std"/>
          <w:b/>
          <w:bCs/>
          <w:color w:val="000000"/>
          <w:sz w:val="12"/>
          <w:szCs w:val="12"/>
        </w:rPr>
        <w:t>Bibliografia</w:t>
      </w:r>
      <w:proofErr w:type="spellEnd"/>
      <w:r w:rsidRPr="00FC7B55">
        <w:rPr>
          <w:rFonts w:ascii="Arial MT Std" w:hAnsi="Arial MT Std" w:cs="Arial MT Std"/>
          <w:b/>
          <w:bCs/>
          <w:color w:val="000000"/>
          <w:sz w:val="12"/>
          <w:szCs w:val="12"/>
        </w:rPr>
        <w:t>/</w:t>
      </w:r>
      <w:proofErr w:type="spellStart"/>
      <w:r w:rsidRPr="00FC7B55">
        <w:rPr>
          <w:rFonts w:ascii="Arial MT Std" w:hAnsi="Arial MT Std" w:cs="Arial MT Std"/>
          <w:b/>
          <w:bCs/>
          <w:color w:val="000000"/>
          <w:sz w:val="12"/>
          <w:szCs w:val="12"/>
        </w:rPr>
        <w:t>Literatur</w:t>
      </w:r>
      <w:proofErr w:type="spellEnd"/>
    </w:p>
    <w:p w14:paraId="005A205C" w14:textId="0CE28BE2"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1. Triplett DA et al: Platelet function, laboratory evaluation and clinical application. ASCP, Chicago, 1978.</w:t>
      </w:r>
    </w:p>
    <w:p w14:paraId="1C981E53" w14:textId="6A1D17EB"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2. Bland JM, Altman DG: Statistical methods for assessing agreement between two methods of clinical measurement. Lancet 1986; Feb: 307-310.</w:t>
      </w:r>
    </w:p>
    <w:p w14:paraId="12D012C6" w14:textId="77777777" w:rsidR="00FC7B55" w:rsidRPr="00FC7B55" w:rsidRDefault="00FC7B55" w:rsidP="00FC7B55">
      <w:pPr>
        <w:autoSpaceDE w:val="0"/>
        <w:autoSpaceDN w:val="0"/>
        <w:adjustRightInd w:val="0"/>
        <w:spacing w:before="20" w:line="288" w:lineRule="auto"/>
        <w:textAlignment w:val="center"/>
        <w:rPr>
          <w:rFonts w:ascii="Arial MT Std" w:hAnsi="Arial MT Std" w:cs="Arial MT Std"/>
          <w:b/>
          <w:bCs/>
          <w:caps/>
          <w:color w:val="000000"/>
          <w:sz w:val="14"/>
          <w:szCs w:val="14"/>
        </w:rPr>
      </w:pPr>
      <w:r w:rsidRPr="00FC7B55">
        <w:rPr>
          <w:rFonts w:ascii="Arial MT Std" w:hAnsi="Arial MT Std" w:cs="Arial MT Std"/>
          <w:b/>
          <w:bCs/>
          <w:caps/>
          <w:color w:val="000000"/>
          <w:sz w:val="14"/>
          <w:szCs w:val="14"/>
        </w:rPr>
        <w:t>REFERENCES</w:t>
      </w:r>
    </w:p>
    <w:p w14:paraId="536CF5C5" w14:textId="77777777" w:rsidR="00FC7B55" w:rsidRPr="00FC7B55" w:rsidRDefault="00FC7B55" w:rsidP="00FC7B55">
      <w:pPr>
        <w:suppressAutoHyphens/>
        <w:autoSpaceDE w:val="0"/>
        <w:autoSpaceDN w:val="0"/>
        <w:adjustRightInd w:val="0"/>
        <w:spacing w:line="288" w:lineRule="auto"/>
        <w:textAlignment w:val="center"/>
        <w:rPr>
          <w:rFonts w:ascii="Arial MT Std" w:hAnsi="Arial MT Std" w:cs="Arial MT Std"/>
          <w:b/>
          <w:bCs/>
          <w:color w:val="000000"/>
          <w:sz w:val="12"/>
          <w:szCs w:val="12"/>
        </w:rPr>
      </w:pPr>
      <w:r w:rsidRPr="00FC7B55">
        <w:rPr>
          <w:rFonts w:ascii="Arial MT Std" w:hAnsi="Arial MT Std" w:cs="Arial MT Std"/>
          <w:b/>
          <w:bCs/>
          <w:color w:val="000000"/>
          <w:sz w:val="12"/>
          <w:szCs w:val="12"/>
        </w:rPr>
        <w:t>References/</w:t>
      </w:r>
      <w:proofErr w:type="spellStart"/>
      <w:r w:rsidRPr="00FC7B55">
        <w:rPr>
          <w:rFonts w:ascii="Arial MT Std" w:hAnsi="Arial MT Std" w:cs="Arial MT Std"/>
          <w:b/>
          <w:bCs/>
          <w:color w:val="000000"/>
          <w:sz w:val="12"/>
          <w:szCs w:val="12"/>
        </w:rPr>
        <w:t>Verveise</w:t>
      </w:r>
      <w:proofErr w:type="spellEnd"/>
      <w:r w:rsidRPr="00FC7B55">
        <w:rPr>
          <w:rFonts w:ascii="Arial MT Std" w:hAnsi="Arial MT Std" w:cs="Arial MT Std"/>
          <w:b/>
          <w:bCs/>
          <w:color w:val="000000"/>
          <w:sz w:val="12"/>
          <w:szCs w:val="12"/>
        </w:rPr>
        <w:t>/</w:t>
      </w:r>
      <w:proofErr w:type="spellStart"/>
      <w:r w:rsidRPr="00FC7B55">
        <w:rPr>
          <w:rFonts w:ascii="Arial MT Std" w:hAnsi="Arial MT Std" w:cs="Arial MT Std"/>
          <w:b/>
          <w:bCs/>
          <w:color w:val="000000"/>
          <w:sz w:val="12"/>
          <w:szCs w:val="12"/>
        </w:rPr>
        <w:t>Riferimenti</w:t>
      </w:r>
      <w:proofErr w:type="spellEnd"/>
      <w:r w:rsidRPr="00FC7B55">
        <w:rPr>
          <w:rFonts w:ascii="Arial MT Std" w:hAnsi="Arial MT Std" w:cs="Arial MT Std"/>
          <w:b/>
          <w:bCs/>
          <w:color w:val="000000"/>
          <w:sz w:val="12"/>
          <w:szCs w:val="12"/>
        </w:rPr>
        <w:t>/</w:t>
      </w:r>
      <w:proofErr w:type="spellStart"/>
      <w:r w:rsidRPr="00FC7B55">
        <w:rPr>
          <w:rFonts w:ascii="Arial MT Std" w:hAnsi="Arial MT Std" w:cs="Arial MT Std"/>
          <w:b/>
          <w:bCs/>
          <w:color w:val="000000"/>
          <w:sz w:val="12"/>
          <w:szCs w:val="12"/>
        </w:rPr>
        <w:t>Referencias</w:t>
      </w:r>
      <w:proofErr w:type="spellEnd"/>
    </w:p>
    <w:p w14:paraId="161D571E" w14:textId="792B82C3"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1. </w:t>
      </w:r>
      <w:proofErr w:type="spellStart"/>
      <w:r w:rsidRPr="00FC7B55">
        <w:rPr>
          <w:rFonts w:ascii="Arial MT Std" w:hAnsi="Arial MT Std" w:cs="Arial MT Std"/>
          <w:color w:val="000000"/>
          <w:sz w:val="12"/>
          <w:szCs w:val="12"/>
        </w:rPr>
        <w:t>Badimon</w:t>
      </w:r>
      <w:proofErr w:type="spellEnd"/>
      <w:r w:rsidRPr="00FC7B55">
        <w:rPr>
          <w:rFonts w:ascii="Arial MT Std" w:hAnsi="Arial MT Std" w:cs="Arial MT Std"/>
          <w:color w:val="000000"/>
          <w:sz w:val="12"/>
          <w:szCs w:val="12"/>
        </w:rPr>
        <w:t xml:space="preserve"> L, </w:t>
      </w:r>
      <w:proofErr w:type="spellStart"/>
      <w:r w:rsidRPr="00FC7B55">
        <w:rPr>
          <w:rFonts w:ascii="Arial MT Std" w:hAnsi="Arial MT Std" w:cs="Arial MT Std"/>
          <w:color w:val="000000"/>
          <w:sz w:val="12"/>
          <w:szCs w:val="12"/>
        </w:rPr>
        <w:t>Badimon</w:t>
      </w:r>
      <w:proofErr w:type="spellEnd"/>
      <w:r w:rsidRPr="00FC7B55">
        <w:rPr>
          <w:rFonts w:ascii="Arial MT Std" w:hAnsi="Arial MT Std" w:cs="Arial MT Std"/>
          <w:color w:val="000000"/>
          <w:sz w:val="12"/>
          <w:szCs w:val="12"/>
        </w:rPr>
        <w:t xml:space="preserve"> JJ, </w:t>
      </w:r>
      <w:proofErr w:type="spellStart"/>
      <w:r w:rsidRPr="00FC7B55">
        <w:rPr>
          <w:rFonts w:ascii="Arial MT Std" w:hAnsi="Arial MT Std" w:cs="Arial MT Std"/>
          <w:color w:val="000000"/>
          <w:sz w:val="12"/>
          <w:szCs w:val="12"/>
        </w:rPr>
        <w:t>Fuster</w:t>
      </w:r>
      <w:proofErr w:type="spellEnd"/>
      <w:r w:rsidRPr="00FC7B55">
        <w:rPr>
          <w:rFonts w:ascii="Arial MT Std" w:hAnsi="Arial MT Std" w:cs="Arial MT Std"/>
          <w:color w:val="000000"/>
          <w:sz w:val="12"/>
          <w:szCs w:val="12"/>
        </w:rPr>
        <w:t xml:space="preserve"> V: Pathogenesis of thrombosis. In </w:t>
      </w:r>
      <w:proofErr w:type="spellStart"/>
      <w:r w:rsidRPr="00FC7B55">
        <w:rPr>
          <w:rFonts w:ascii="Arial MT Std" w:hAnsi="Arial MT Std" w:cs="Arial MT Std"/>
          <w:color w:val="000000"/>
          <w:sz w:val="12"/>
          <w:szCs w:val="12"/>
        </w:rPr>
        <w:t>Fuster</w:t>
      </w:r>
      <w:proofErr w:type="spellEnd"/>
      <w:r w:rsidRPr="00FC7B55">
        <w:rPr>
          <w:rFonts w:ascii="Arial MT Std" w:hAnsi="Arial MT Std" w:cs="Arial MT Std"/>
          <w:color w:val="000000"/>
          <w:sz w:val="12"/>
          <w:szCs w:val="12"/>
        </w:rPr>
        <w:t xml:space="preserve"> V, </w:t>
      </w:r>
      <w:proofErr w:type="spellStart"/>
      <w:r w:rsidRPr="00FC7B55">
        <w:rPr>
          <w:rFonts w:ascii="Arial MT Std" w:hAnsi="Arial MT Std" w:cs="Arial MT Std"/>
          <w:color w:val="000000"/>
          <w:sz w:val="12"/>
          <w:szCs w:val="12"/>
        </w:rPr>
        <w:t>Verstraete</w:t>
      </w:r>
      <w:proofErr w:type="spellEnd"/>
      <w:r w:rsidRPr="00FC7B55">
        <w:rPr>
          <w:rFonts w:ascii="Arial MT Std" w:hAnsi="Arial MT Std" w:cs="Arial MT Std"/>
          <w:color w:val="000000"/>
          <w:sz w:val="12"/>
          <w:szCs w:val="12"/>
        </w:rPr>
        <w:t xml:space="preserve"> M, eds. Thrombosis in cardiovascular disorders. Philadelphia, PA: WB Saunders 1992; 17-39.</w:t>
      </w:r>
    </w:p>
    <w:p w14:paraId="7EA3D77C" w14:textId="15445E5D"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2. Born, GVR: Aggregation of blood platelets by adenosine diphosphate and its reversal. Nature 1962; 194:927.</w:t>
      </w:r>
    </w:p>
    <w:p w14:paraId="6E8EBC16" w14:textId="7AE4E26F"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3. </w:t>
      </w:r>
      <w:proofErr w:type="spellStart"/>
      <w:r w:rsidRPr="00FC7B55">
        <w:rPr>
          <w:rFonts w:ascii="Arial MT Std" w:hAnsi="Arial MT Std" w:cs="Arial MT Std"/>
          <w:color w:val="000000"/>
          <w:sz w:val="12"/>
          <w:szCs w:val="12"/>
        </w:rPr>
        <w:t>Califf</w:t>
      </w:r>
      <w:proofErr w:type="spellEnd"/>
      <w:r w:rsidRPr="00FC7B55">
        <w:rPr>
          <w:rFonts w:ascii="Arial MT Std" w:hAnsi="Arial MT Std" w:cs="Arial MT Std"/>
          <w:color w:val="000000"/>
          <w:sz w:val="12"/>
          <w:szCs w:val="12"/>
        </w:rPr>
        <w:t xml:space="preserve"> RA, </w:t>
      </w:r>
      <w:proofErr w:type="spellStart"/>
      <w:r w:rsidRPr="00FC7B55">
        <w:rPr>
          <w:rFonts w:ascii="Arial MT Std" w:hAnsi="Arial MT Std" w:cs="Arial MT Std"/>
          <w:color w:val="000000"/>
          <w:sz w:val="12"/>
          <w:szCs w:val="12"/>
        </w:rPr>
        <w:t>Willerson</w:t>
      </w:r>
      <w:proofErr w:type="spellEnd"/>
      <w:r w:rsidRPr="00FC7B55">
        <w:rPr>
          <w:rFonts w:ascii="Arial MT Std" w:hAnsi="Arial MT Std" w:cs="Arial MT Std"/>
          <w:color w:val="000000"/>
          <w:sz w:val="12"/>
          <w:szCs w:val="12"/>
        </w:rPr>
        <w:t xml:space="preserve"> JT: Percutaneous transluminal coronary angioplasty: prevention of occlusion and restenosis. In: </w:t>
      </w:r>
      <w:proofErr w:type="spellStart"/>
      <w:r w:rsidRPr="00FC7B55">
        <w:rPr>
          <w:rFonts w:ascii="Arial MT Std" w:hAnsi="Arial MT Std" w:cs="Arial MT Std"/>
          <w:color w:val="000000"/>
          <w:sz w:val="12"/>
          <w:szCs w:val="12"/>
        </w:rPr>
        <w:t>Fuster</w:t>
      </w:r>
      <w:proofErr w:type="spellEnd"/>
      <w:r w:rsidRPr="00FC7B55">
        <w:rPr>
          <w:rFonts w:ascii="Arial MT Std" w:hAnsi="Arial MT Std" w:cs="Arial MT Std"/>
          <w:color w:val="000000"/>
          <w:sz w:val="12"/>
          <w:szCs w:val="12"/>
        </w:rPr>
        <w:t xml:space="preserve"> V, </w:t>
      </w:r>
      <w:proofErr w:type="spellStart"/>
      <w:r w:rsidRPr="00FC7B55">
        <w:rPr>
          <w:rFonts w:ascii="Arial MT Std" w:hAnsi="Arial MT Std" w:cs="Arial MT Std"/>
          <w:color w:val="000000"/>
          <w:sz w:val="12"/>
          <w:szCs w:val="12"/>
        </w:rPr>
        <w:t>Verstraete</w:t>
      </w:r>
      <w:proofErr w:type="spellEnd"/>
      <w:r w:rsidRPr="00FC7B55">
        <w:rPr>
          <w:rFonts w:ascii="Arial MT Std" w:hAnsi="Arial MT Std" w:cs="Arial MT Std"/>
          <w:color w:val="000000"/>
          <w:sz w:val="12"/>
          <w:szCs w:val="12"/>
        </w:rPr>
        <w:t xml:space="preserve"> M, eds. Thrombosis in cardiovascular disorders. Philadelphia, PA: WB Saunders 1992; 389-408.</w:t>
      </w:r>
    </w:p>
    <w:p w14:paraId="74D2848F" w14:textId="39CFB58F"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4. Cheeseman JE, Mills SP, Hardisty RM: Platelet aggregometry on whole blood: the use of the ELT8/ds blood cell counter in the investigation of bleeding disorders. Clin Lab </w:t>
      </w:r>
      <w:proofErr w:type="spellStart"/>
      <w:r w:rsidRPr="00FC7B55">
        <w:rPr>
          <w:rFonts w:ascii="Arial MT Std" w:hAnsi="Arial MT Std" w:cs="Arial MT Std"/>
          <w:color w:val="000000"/>
          <w:sz w:val="12"/>
          <w:szCs w:val="12"/>
        </w:rPr>
        <w:t>Haemat</w:t>
      </w:r>
      <w:proofErr w:type="spellEnd"/>
      <w:r w:rsidRPr="00FC7B55">
        <w:rPr>
          <w:rFonts w:ascii="Arial MT Std" w:hAnsi="Arial MT Std" w:cs="Arial MT Std"/>
          <w:color w:val="000000"/>
          <w:sz w:val="12"/>
          <w:szCs w:val="12"/>
        </w:rPr>
        <w:t xml:space="preserve"> 1984; 6:265-272.</w:t>
      </w:r>
    </w:p>
    <w:p w14:paraId="4B3469CB" w14:textId="707504E4"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5. </w:t>
      </w:r>
      <w:proofErr w:type="spellStart"/>
      <w:r w:rsidRPr="00FC7B55">
        <w:rPr>
          <w:rFonts w:ascii="Arial MT Std" w:hAnsi="Arial MT Std" w:cs="Arial MT Std"/>
          <w:color w:val="000000"/>
          <w:sz w:val="12"/>
          <w:szCs w:val="12"/>
        </w:rPr>
        <w:t>Despotis</w:t>
      </w:r>
      <w:proofErr w:type="spellEnd"/>
      <w:r w:rsidRPr="00FC7B55">
        <w:rPr>
          <w:rFonts w:ascii="Arial MT Std" w:hAnsi="Arial MT Std" w:cs="Arial MT Std"/>
          <w:color w:val="000000"/>
          <w:sz w:val="12"/>
          <w:szCs w:val="12"/>
        </w:rPr>
        <w:t xml:space="preserve"> GJ, Levine VL, Goodnough LT. Relationship between leucocyte count and patient risk for excessive blood loss after cardiac surgery. Crit Care Med. 1997; 25:1338-1346.</w:t>
      </w:r>
    </w:p>
    <w:p w14:paraId="34CB76B9" w14:textId="544985C7"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6. </w:t>
      </w:r>
      <w:proofErr w:type="spellStart"/>
      <w:r w:rsidRPr="00FC7B55">
        <w:rPr>
          <w:rFonts w:ascii="Arial MT Std" w:hAnsi="Arial MT Std" w:cs="Arial MT Std"/>
          <w:color w:val="000000"/>
          <w:sz w:val="12"/>
          <w:szCs w:val="12"/>
        </w:rPr>
        <w:t>Gasperti</w:t>
      </w:r>
      <w:proofErr w:type="spellEnd"/>
      <w:r w:rsidRPr="00FC7B55">
        <w:rPr>
          <w:rFonts w:ascii="Arial MT Std" w:hAnsi="Arial MT Std" w:cs="Arial MT Std"/>
          <w:color w:val="000000"/>
          <w:sz w:val="12"/>
          <w:szCs w:val="12"/>
        </w:rPr>
        <w:t xml:space="preserve"> CM, </w:t>
      </w:r>
      <w:proofErr w:type="spellStart"/>
      <w:r w:rsidRPr="00FC7B55">
        <w:rPr>
          <w:rFonts w:ascii="Arial MT Std" w:hAnsi="Arial MT Std" w:cs="Arial MT Std"/>
          <w:color w:val="000000"/>
          <w:sz w:val="12"/>
          <w:szCs w:val="12"/>
        </w:rPr>
        <w:t>Gonias</w:t>
      </w:r>
      <w:proofErr w:type="spellEnd"/>
      <w:r w:rsidRPr="00FC7B55">
        <w:rPr>
          <w:rFonts w:ascii="Arial MT Std" w:hAnsi="Arial MT Std" w:cs="Arial MT Std"/>
          <w:color w:val="000000"/>
          <w:sz w:val="12"/>
          <w:szCs w:val="12"/>
        </w:rPr>
        <w:t xml:space="preserve"> ST, Gimple LW, et al: Platelet activation during coronary angioplasty in humans. Circulation 1993; 88:2728-2734.</w:t>
      </w:r>
    </w:p>
    <w:p w14:paraId="7C967936" w14:textId="239E1350"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7. Harker LA, Mann KG: Thrombosis and Fibrinolysis. In: </w:t>
      </w:r>
      <w:proofErr w:type="spellStart"/>
      <w:r w:rsidRPr="00FC7B55">
        <w:rPr>
          <w:rFonts w:ascii="Arial MT Std" w:hAnsi="Arial MT Std" w:cs="Arial MT Std"/>
          <w:color w:val="000000"/>
          <w:sz w:val="12"/>
          <w:szCs w:val="12"/>
        </w:rPr>
        <w:t>Fuster</w:t>
      </w:r>
      <w:proofErr w:type="spellEnd"/>
      <w:r w:rsidRPr="00FC7B55">
        <w:rPr>
          <w:rFonts w:ascii="Arial MT Std" w:hAnsi="Arial MT Std" w:cs="Arial MT Std"/>
          <w:color w:val="000000"/>
          <w:sz w:val="12"/>
          <w:szCs w:val="12"/>
        </w:rPr>
        <w:t xml:space="preserve"> V, </w:t>
      </w:r>
      <w:proofErr w:type="spellStart"/>
      <w:r w:rsidRPr="00FC7B55">
        <w:rPr>
          <w:rFonts w:ascii="Arial MT Std" w:hAnsi="Arial MT Std" w:cs="Arial MT Std"/>
          <w:color w:val="000000"/>
          <w:sz w:val="12"/>
          <w:szCs w:val="12"/>
        </w:rPr>
        <w:t>Verstraete</w:t>
      </w:r>
      <w:proofErr w:type="spellEnd"/>
      <w:r w:rsidRPr="00FC7B55">
        <w:rPr>
          <w:rFonts w:ascii="Arial MT Std" w:hAnsi="Arial MT Std" w:cs="Arial MT Std"/>
          <w:color w:val="000000"/>
          <w:sz w:val="12"/>
          <w:szCs w:val="12"/>
        </w:rPr>
        <w:t xml:space="preserve"> M, eds. Thrombosis in cardiovascular disorders. Philadelphia, PA: WB Saunders 1992; 1-16.</w:t>
      </w:r>
    </w:p>
    <w:p w14:paraId="33B4FCF0" w14:textId="0257ACBF"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8. </w:t>
      </w:r>
      <w:proofErr w:type="spellStart"/>
      <w:r w:rsidRPr="00FC7B55">
        <w:rPr>
          <w:rFonts w:ascii="Arial MT Std" w:hAnsi="Arial MT Std" w:cs="Arial MT Std"/>
          <w:color w:val="000000"/>
          <w:sz w:val="12"/>
          <w:szCs w:val="12"/>
        </w:rPr>
        <w:t>Ingerman-Wojenski</w:t>
      </w:r>
      <w:proofErr w:type="spellEnd"/>
      <w:r w:rsidRPr="00FC7B55">
        <w:rPr>
          <w:rFonts w:ascii="Arial MT Std" w:hAnsi="Arial MT Std" w:cs="Arial MT Std"/>
          <w:color w:val="000000"/>
          <w:sz w:val="12"/>
          <w:szCs w:val="12"/>
        </w:rPr>
        <w:t xml:space="preserve"> CM, Silver MJ: A quick method for screening platelet dysfunctions using the whole blood </w:t>
      </w:r>
      <w:proofErr w:type="spellStart"/>
      <w:r w:rsidRPr="00FC7B55">
        <w:rPr>
          <w:rFonts w:ascii="Arial MT Std" w:hAnsi="Arial MT Std" w:cs="Arial MT Std"/>
          <w:color w:val="000000"/>
          <w:sz w:val="12"/>
          <w:szCs w:val="12"/>
        </w:rPr>
        <w:t>lumi</w:t>
      </w:r>
      <w:proofErr w:type="spellEnd"/>
      <w:r w:rsidRPr="00FC7B55">
        <w:rPr>
          <w:rFonts w:ascii="Arial MT Std" w:hAnsi="Arial MT Std" w:cs="Arial MT Std"/>
          <w:color w:val="000000"/>
          <w:sz w:val="12"/>
          <w:szCs w:val="12"/>
        </w:rPr>
        <w:t xml:space="preserve">-aggregometer. </w:t>
      </w:r>
      <w:proofErr w:type="spellStart"/>
      <w:r w:rsidRPr="00FC7B55">
        <w:rPr>
          <w:rFonts w:ascii="Arial MT Std" w:hAnsi="Arial MT Std" w:cs="Arial MT Std"/>
          <w:color w:val="000000"/>
          <w:sz w:val="12"/>
          <w:szCs w:val="12"/>
        </w:rPr>
        <w:t>Thromb</w:t>
      </w:r>
      <w:proofErr w:type="spellEnd"/>
      <w:r w:rsidRPr="00FC7B55">
        <w:rPr>
          <w:rFonts w:ascii="Arial MT Std" w:hAnsi="Arial MT Std" w:cs="Arial MT Std"/>
          <w:color w:val="000000"/>
          <w:sz w:val="12"/>
          <w:szCs w:val="12"/>
        </w:rPr>
        <w:t xml:space="preserve"> </w:t>
      </w:r>
      <w:proofErr w:type="spellStart"/>
      <w:r w:rsidRPr="00FC7B55">
        <w:rPr>
          <w:rFonts w:ascii="Arial MT Std" w:hAnsi="Arial MT Std" w:cs="Arial MT Std"/>
          <w:color w:val="000000"/>
          <w:sz w:val="12"/>
          <w:szCs w:val="12"/>
        </w:rPr>
        <w:t>Hemo</w:t>
      </w:r>
      <w:proofErr w:type="spellEnd"/>
      <w:r w:rsidRPr="00FC7B55">
        <w:rPr>
          <w:rFonts w:ascii="Arial MT Std" w:hAnsi="Arial MT Std" w:cs="Arial MT Std"/>
          <w:color w:val="000000"/>
          <w:sz w:val="12"/>
          <w:szCs w:val="12"/>
        </w:rPr>
        <w:t xml:space="preserve"> 1984; 51(2):154-156.</w:t>
      </w:r>
    </w:p>
    <w:p w14:paraId="41584174" w14:textId="788AD634"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 9. Marcus AJ, </w:t>
      </w:r>
      <w:proofErr w:type="spellStart"/>
      <w:r w:rsidRPr="00FC7B55">
        <w:rPr>
          <w:rFonts w:ascii="Arial MT Std" w:hAnsi="Arial MT Std" w:cs="Arial MT Std"/>
          <w:color w:val="000000"/>
          <w:sz w:val="12"/>
          <w:szCs w:val="12"/>
        </w:rPr>
        <w:t>Safier</w:t>
      </w:r>
      <w:proofErr w:type="spellEnd"/>
      <w:r w:rsidRPr="00FC7B55">
        <w:rPr>
          <w:rFonts w:ascii="Arial MT Std" w:hAnsi="Arial MT Std" w:cs="Arial MT Std"/>
          <w:color w:val="000000"/>
          <w:sz w:val="12"/>
          <w:szCs w:val="12"/>
        </w:rPr>
        <w:t xml:space="preserve"> LB: Thromboregulation: multicellular modulation of platelet reactivity in hemostasis and thrombosis. FASEB </w:t>
      </w:r>
      <w:proofErr w:type="gramStart"/>
      <w:r w:rsidRPr="00FC7B55">
        <w:rPr>
          <w:rFonts w:ascii="Arial MT Std" w:hAnsi="Arial MT Std" w:cs="Arial MT Std"/>
          <w:color w:val="000000"/>
          <w:sz w:val="12"/>
          <w:szCs w:val="12"/>
        </w:rPr>
        <w:t>1993;7:516</w:t>
      </w:r>
      <w:proofErr w:type="gramEnd"/>
      <w:r w:rsidRPr="00FC7B55">
        <w:rPr>
          <w:rFonts w:ascii="Arial MT Std" w:hAnsi="Arial MT Std" w:cs="Arial MT Std"/>
          <w:color w:val="000000"/>
          <w:sz w:val="12"/>
          <w:szCs w:val="12"/>
        </w:rPr>
        <w:t>-522.</w:t>
      </w:r>
    </w:p>
    <w:p w14:paraId="71D3D6CE" w14:textId="5461C1C1"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10. </w:t>
      </w:r>
      <w:proofErr w:type="spellStart"/>
      <w:r w:rsidRPr="00FC7B55">
        <w:rPr>
          <w:rFonts w:ascii="Arial MT Std" w:hAnsi="Arial MT Std" w:cs="Arial MT Std"/>
          <w:color w:val="000000"/>
          <w:sz w:val="12"/>
          <w:szCs w:val="12"/>
        </w:rPr>
        <w:t>Sughayer</w:t>
      </w:r>
      <w:proofErr w:type="spellEnd"/>
      <w:r w:rsidRPr="00FC7B55">
        <w:rPr>
          <w:rFonts w:ascii="Arial MT Std" w:hAnsi="Arial MT Std" w:cs="Arial MT Std"/>
          <w:color w:val="000000"/>
          <w:sz w:val="12"/>
          <w:szCs w:val="12"/>
        </w:rPr>
        <w:t xml:space="preserve"> M, Arkin CF: Monitoring coagulation during and after cardiopulmonary bypass surgery. </w:t>
      </w:r>
      <w:proofErr w:type="spellStart"/>
      <w:r w:rsidRPr="00FC7B55">
        <w:rPr>
          <w:rFonts w:ascii="Arial MT Std" w:hAnsi="Arial MT Std" w:cs="Arial MT Std"/>
          <w:color w:val="000000"/>
          <w:sz w:val="12"/>
          <w:szCs w:val="12"/>
        </w:rPr>
        <w:t>Thromb</w:t>
      </w:r>
      <w:proofErr w:type="spellEnd"/>
      <w:r w:rsidRPr="00FC7B55">
        <w:rPr>
          <w:rFonts w:ascii="Arial MT Std" w:hAnsi="Arial MT Std" w:cs="Arial MT Std"/>
          <w:color w:val="000000"/>
          <w:sz w:val="12"/>
          <w:szCs w:val="12"/>
        </w:rPr>
        <w:t xml:space="preserve"> </w:t>
      </w:r>
      <w:proofErr w:type="spellStart"/>
      <w:r w:rsidRPr="00FC7B55">
        <w:rPr>
          <w:rFonts w:ascii="Arial MT Std" w:hAnsi="Arial MT Std" w:cs="Arial MT Std"/>
          <w:color w:val="000000"/>
          <w:sz w:val="12"/>
          <w:szCs w:val="12"/>
        </w:rPr>
        <w:t>Hemost</w:t>
      </w:r>
      <w:proofErr w:type="spellEnd"/>
      <w:r w:rsidRPr="00FC7B55">
        <w:rPr>
          <w:rFonts w:ascii="Arial MT Std" w:hAnsi="Arial MT Std" w:cs="Arial MT Std"/>
          <w:color w:val="000000"/>
          <w:sz w:val="12"/>
          <w:szCs w:val="12"/>
        </w:rPr>
        <w:t>. 1990; 12(4):1-7.</w:t>
      </w:r>
    </w:p>
    <w:p w14:paraId="66E48A9B" w14:textId="4552F9F5"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11. </w:t>
      </w:r>
      <w:proofErr w:type="spellStart"/>
      <w:r w:rsidRPr="00FC7B55">
        <w:rPr>
          <w:rFonts w:ascii="Arial MT Std" w:hAnsi="Arial MT Std" w:cs="Arial MT Std"/>
          <w:color w:val="000000"/>
          <w:sz w:val="12"/>
          <w:szCs w:val="12"/>
        </w:rPr>
        <w:t>Schror</w:t>
      </w:r>
      <w:proofErr w:type="spellEnd"/>
      <w:r w:rsidRPr="00FC7B55">
        <w:rPr>
          <w:rFonts w:ascii="Arial MT Std" w:hAnsi="Arial MT Std" w:cs="Arial MT Std"/>
          <w:color w:val="000000"/>
          <w:sz w:val="12"/>
          <w:szCs w:val="12"/>
        </w:rPr>
        <w:t xml:space="preserve"> K: Aspirin and platelets: the antiplatelet action of aspirin and its role in thrombosis treatment and prophylaxis. Sem </w:t>
      </w:r>
      <w:proofErr w:type="spellStart"/>
      <w:r w:rsidRPr="00FC7B55">
        <w:rPr>
          <w:rFonts w:ascii="Arial MT Std" w:hAnsi="Arial MT Std" w:cs="Arial MT Std"/>
          <w:color w:val="000000"/>
          <w:sz w:val="12"/>
          <w:szCs w:val="12"/>
        </w:rPr>
        <w:t>Throm</w:t>
      </w:r>
      <w:proofErr w:type="spellEnd"/>
      <w:r w:rsidRPr="00FC7B55">
        <w:rPr>
          <w:rFonts w:ascii="Arial MT Std" w:hAnsi="Arial MT Std" w:cs="Arial MT Std"/>
          <w:color w:val="000000"/>
          <w:sz w:val="12"/>
          <w:szCs w:val="12"/>
        </w:rPr>
        <w:t xml:space="preserve"> </w:t>
      </w:r>
      <w:proofErr w:type="spellStart"/>
      <w:r w:rsidRPr="00FC7B55">
        <w:rPr>
          <w:rFonts w:ascii="Arial MT Std" w:hAnsi="Arial MT Std" w:cs="Arial MT Std"/>
          <w:color w:val="000000"/>
          <w:sz w:val="12"/>
          <w:szCs w:val="12"/>
        </w:rPr>
        <w:t>Hemost</w:t>
      </w:r>
      <w:proofErr w:type="spellEnd"/>
      <w:r w:rsidRPr="00FC7B55">
        <w:rPr>
          <w:rFonts w:ascii="Arial MT Std" w:hAnsi="Arial MT Std" w:cs="Arial MT Std"/>
          <w:color w:val="000000"/>
          <w:sz w:val="12"/>
          <w:szCs w:val="12"/>
        </w:rPr>
        <w:t xml:space="preserve"> 1997; 23(4):349-356.</w:t>
      </w:r>
    </w:p>
    <w:p w14:paraId="68A63A31" w14:textId="1B4C0013" w:rsidR="00FC7B55" w:rsidRPr="00FC7B55" w:rsidRDefault="00FC7B55" w:rsidP="00FC7B55">
      <w:pPr>
        <w:suppressAutoHyphens/>
        <w:autoSpaceDE w:val="0"/>
        <w:autoSpaceDN w:val="0"/>
        <w:adjustRightInd w:val="0"/>
        <w:spacing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 xml:space="preserve">12. Weiss HJ, Rogers J: Thrombocytopenia due to abnormalities in platelet release reaction. Blood </w:t>
      </w:r>
      <w:proofErr w:type="gramStart"/>
      <w:r w:rsidRPr="00FC7B55">
        <w:rPr>
          <w:rFonts w:ascii="Arial MT Std" w:hAnsi="Arial MT Std" w:cs="Arial MT Std"/>
          <w:color w:val="000000"/>
          <w:sz w:val="12"/>
          <w:szCs w:val="12"/>
        </w:rPr>
        <w:t>1972;39:2</w:t>
      </w:r>
      <w:proofErr w:type="gramEnd"/>
      <w:r w:rsidRPr="00FC7B55">
        <w:rPr>
          <w:rFonts w:ascii="Arial MT Std" w:hAnsi="Arial MT Std" w:cs="Arial MT Std"/>
          <w:color w:val="000000"/>
          <w:sz w:val="12"/>
          <w:szCs w:val="12"/>
        </w:rPr>
        <w:t>.</w:t>
      </w:r>
    </w:p>
    <w:p w14:paraId="4C135A7E" w14:textId="4DABAB19" w:rsidR="00FC7B55" w:rsidRPr="00FC7B55" w:rsidRDefault="00FC7B55" w:rsidP="00FC7B55">
      <w:pPr>
        <w:tabs>
          <w:tab w:val="left" w:pos="200"/>
        </w:tabs>
        <w:suppressAutoHyphens/>
        <w:autoSpaceDE w:val="0"/>
        <w:autoSpaceDN w:val="0"/>
        <w:adjustRightInd w:val="0"/>
        <w:spacing w:before="40" w:line="288" w:lineRule="auto"/>
        <w:jc w:val="both"/>
        <w:textAlignment w:val="center"/>
        <w:rPr>
          <w:rFonts w:ascii="Arial MT Std" w:hAnsi="Arial MT Std" w:cs="Arial MT Std"/>
          <w:color w:val="000000"/>
          <w:sz w:val="12"/>
          <w:szCs w:val="12"/>
        </w:rPr>
      </w:pPr>
      <w:r w:rsidRPr="00FC7B55">
        <w:rPr>
          <w:rFonts w:ascii="Arial MT Std" w:hAnsi="Arial MT Std" w:cs="Arial MT Std"/>
          <w:color w:val="000000"/>
          <w:spacing w:val="-1"/>
          <w:sz w:val="12"/>
          <w:szCs w:val="12"/>
        </w:rPr>
        <w:t>13. Clinical and Laboratory Standards Institute. Defining, Establishing, and Verifying Reference Intervals in the Clinical Laboratory; Approved Guideline. CLSI Document EP28-A3c, Vol. 28, No. 30, October 2010.</w:t>
      </w:r>
    </w:p>
    <w:p w14:paraId="1D8374CF"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3"/>
          <w:sz w:val="12"/>
          <w:szCs w:val="12"/>
        </w:rPr>
      </w:pPr>
    </w:p>
    <w:p w14:paraId="5724E54A" w14:textId="77777777" w:rsidR="00FC7B55" w:rsidRPr="00FC7B55" w:rsidRDefault="00FC7B55" w:rsidP="00FC7B55">
      <w:pPr>
        <w:tabs>
          <w:tab w:val="left" w:pos="200"/>
        </w:tabs>
        <w:suppressAutoHyphens/>
        <w:autoSpaceDE w:val="0"/>
        <w:autoSpaceDN w:val="0"/>
        <w:adjustRightInd w:val="0"/>
        <w:spacing w:before="80" w:line="288" w:lineRule="auto"/>
        <w:jc w:val="both"/>
        <w:textAlignment w:val="center"/>
        <w:rPr>
          <w:rFonts w:ascii="Arial MT Std" w:hAnsi="Arial MT Std" w:cs="Arial MT Std"/>
          <w:color w:val="000000"/>
          <w:spacing w:val="-3"/>
          <w:sz w:val="12"/>
          <w:szCs w:val="12"/>
        </w:rPr>
      </w:pPr>
      <w:r w:rsidRPr="00FC7B55">
        <w:rPr>
          <w:rFonts w:ascii="Arial MT Std" w:hAnsi="Arial MT Std" w:cs="Arial MT Std"/>
          <w:color w:val="000000"/>
          <w:spacing w:val="-3"/>
          <w:sz w:val="12"/>
          <w:szCs w:val="12"/>
        </w:rPr>
        <w:t>For Sales, Technical and Order Information and Service Assistance, call 800-231-5663 toll free.</w:t>
      </w:r>
    </w:p>
    <w:p w14:paraId="3D7D3BA6"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r w:rsidRPr="00FC7B55">
        <w:rPr>
          <w:rFonts w:ascii="Arial MT Std" w:hAnsi="Arial MT Std" w:cs="Arial MT Std"/>
          <w:color w:val="000000"/>
          <w:spacing w:val="-1"/>
          <w:sz w:val="10"/>
          <w:szCs w:val="10"/>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08661B23"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r w:rsidRPr="00FC7B55">
        <w:rPr>
          <w:rFonts w:ascii="Arial MT Std" w:hAnsi="Arial MT Std" w:cs="Arial MT Std"/>
          <w:color w:val="000000"/>
          <w:spacing w:val="-1"/>
          <w:sz w:val="10"/>
          <w:szCs w:val="10"/>
        </w:rPr>
        <w:t>In no case will Helena Laboratories be liable for consequential damages even if Helena has been advised as to the possibility of such damages.</w:t>
      </w:r>
    </w:p>
    <w:p w14:paraId="502BBA4C"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r w:rsidRPr="00FC7B55">
        <w:rPr>
          <w:rFonts w:ascii="Arial MT Std" w:hAnsi="Arial MT Std" w:cs="Arial MT Std"/>
          <w:color w:val="000000"/>
          <w:spacing w:val="-1"/>
          <w:sz w:val="10"/>
          <w:szCs w:val="10"/>
        </w:rPr>
        <w:t>The foregoing warranties are in lieu of all warranties expressed or implied including, but not limited to, the implied warranties of merchantability and fitness for a particular purpose.</w:t>
      </w:r>
    </w:p>
    <w:p w14:paraId="3896D25F"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r w:rsidRPr="00FC7B55">
        <w:rPr>
          <w:rFonts w:ascii="Arial MT Std" w:hAnsi="Arial MT Std" w:cs="Arial MT Std"/>
          <w:color w:val="000000"/>
          <w:spacing w:val="-1"/>
          <w:sz w:val="10"/>
          <w:szCs w:val="10"/>
        </w:rPr>
        <w:t>© 2023</w:t>
      </w:r>
    </w:p>
    <w:p w14:paraId="0D115B69"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p>
    <w:p w14:paraId="6DEC76E6"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p>
    <w:p w14:paraId="239A58C2" w14:textId="77777777" w:rsidR="00FC7B55" w:rsidRPr="00FC7B55" w:rsidRDefault="00FC7B55" w:rsidP="00FC7B55">
      <w:pPr>
        <w:tabs>
          <w:tab w:val="left" w:pos="200"/>
        </w:tabs>
        <w:suppressAutoHyphens/>
        <w:autoSpaceDE w:val="0"/>
        <w:autoSpaceDN w:val="0"/>
        <w:adjustRightInd w:val="0"/>
        <w:spacing w:line="288" w:lineRule="auto"/>
        <w:jc w:val="both"/>
        <w:textAlignment w:val="center"/>
        <w:rPr>
          <w:rFonts w:ascii="Arial MT Std" w:hAnsi="Arial MT Std" w:cs="Arial MT Std"/>
          <w:color w:val="000000"/>
          <w:spacing w:val="-1"/>
          <w:sz w:val="10"/>
          <w:szCs w:val="10"/>
        </w:rPr>
      </w:pPr>
    </w:p>
    <w:p w14:paraId="734BC00C" w14:textId="77777777" w:rsidR="00FC7B55" w:rsidRPr="00FC7B55" w:rsidRDefault="00FC7B55" w:rsidP="00FC7B55">
      <w:pPr>
        <w:tabs>
          <w:tab w:val="left" w:pos="720"/>
          <w:tab w:val="left" w:pos="3975"/>
          <w:tab w:val="left" w:pos="7530"/>
        </w:tabs>
        <w:autoSpaceDE w:val="0"/>
        <w:autoSpaceDN w:val="0"/>
        <w:adjustRightInd w:val="0"/>
        <w:spacing w:line="288" w:lineRule="auto"/>
        <w:textAlignment w:val="center"/>
        <w:rPr>
          <w:rFonts w:ascii="Arial MT Std" w:hAnsi="Arial MT Std" w:cs="Arial MT Std"/>
          <w:color w:val="000000"/>
          <w:sz w:val="12"/>
          <w:szCs w:val="12"/>
        </w:rPr>
      </w:pPr>
    </w:p>
    <w:p w14:paraId="3C1387B1" w14:textId="7388310C" w:rsidR="00FC7B55" w:rsidRPr="00FC7B55" w:rsidRDefault="00FC7B55" w:rsidP="00FC7B55">
      <w:pPr>
        <w:tabs>
          <w:tab w:val="left" w:pos="720"/>
        </w:tabs>
        <w:suppressAutoHyphens/>
        <w:autoSpaceDE w:val="0"/>
        <w:autoSpaceDN w:val="0"/>
        <w:adjustRightInd w:val="0"/>
        <w:spacing w:line="288" w:lineRule="auto"/>
        <w:textAlignment w:val="center"/>
        <w:rPr>
          <w:rFonts w:ascii="Arial MT Std" w:hAnsi="Arial MT Std" w:cs="Arial MT Std"/>
          <w:color w:val="000000"/>
          <w:sz w:val="12"/>
          <w:szCs w:val="12"/>
        </w:rPr>
      </w:pPr>
    </w:p>
    <w:p w14:paraId="54496A8A" w14:textId="77CAF6FA" w:rsidR="00FC7B55" w:rsidRPr="00FC7B55" w:rsidRDefault="00FC7B55" w:rsidP="00FC7B55">
      <w:pPr>
        <w:tabs>
          <w:tab w:val="left" w:pos="720"/>
        </w:tabs>
        <w:suppressAutoHyphens/>
        <w:autoSpaceDE w:val="0"/>
        <w:autoSpaceDN w:val="0"/>
        <w:adjustRightInd w:val="0"/>
        <w:spacing w:line="288" w:lineRule="auto"/>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ab/>
      </w:r>
    </w:p>
    <w:p w14:paraId="1F8916C9" w14:textId="27C6592C" w:rsidR="00FC7B55" w:rsidRPr="00FC7B55" w:rsidRDefault="00FC7B55" w:rsidP="00FC7B55">
      <w:pPr>
        <w:tabs>
          <w:tab w:val="left" w:pos="720"/>
        </w:tabs>
        <w:suppressAutoHyphens/>
        <w:autoSpaceDE w:val="0"/>
        <w:autoSpaceDN w:val="0"/>
        <w:adjustRightInd w:val="0"/>
        <w:spacing w:line="288" w:lineRule="auto"/>
        <w:textAlignment w:val="center"/>
        <w:rPr>
          <w:rFonts w:ascii="Arial MT Std" w:hAnsi="Arial MT Std" w:cs="Arial MT Std"/>
          <w:color w:val="000000"/>
          <w:sz w:val="12"/>
          <w:szCs w:val="12"/>
        </w:rPr>
      </w:pPr>
    </w:p>
    <w:p w14:paraId="693BF103" w14:textId="2D0B787E" w:rsidR="00FC7B55" w:rsidRPr="00FC7B55" w:rsidRDefault="00FC7B55" w:rsidP="00FC7B55">
      <w:pPr>
        <w:tabs>
          <w:tab w:val="left" w:pos="680"/>
        </w:tabs>
        <w:autoSpaceDE w:val="0"/>
        <w:autoSpaceDN w:val="0"/>
        <w:adjustRightInd w:val="0"/>
        <w:spacing w:line="280" w:lineRule="atLeast"/>
        <w:textAlignment w:val="center"/>
        <w:rPr>
          <w:rFonts w:ascii="Arial MT Std" w:hAnsi="Arial MT Std" w:cs="Arial MT Std"/>
          <w:color w:val="000000"/>
          <w:sz w:val="12"/>
          <w:szCs w:val="12"/>
        </w:rPr>
      </w:pPr>
      <w:r w:rsidRPr="006F1CC4">
        <w:rPr>
          <w:rFonts w:ascii="Arial MT Std" w:hAnsi="Arial MT Std" w:cs="Arial MT Std"/>
          <w:noProof/>
          <w:color w:val="000000"/>
          <w:sz w:val="20"/>
          <w:szCs w:val="20"/>
        </w:rPr>
        <w:drawing>
          <wp:anchor distT="0" distB="0" distL="114300" distR="114300" simplePos="0" relativeHeight="251658240" behindDoc="1" locked="0" layoutInCell="1" allowOverlap="1" wp14:anchorId="1594C533" wp14:editId="2DF93624">
            <wp:simplePos x="0" y="0"/>
            <wp:positionH relativeFrom="column">
              <wp:posOffset>85090</wp:posOffset>
            </wp:positionH>
            <wp:positionV relativeFrom="paragraph">
              <wp:posOffset>111125</wp:posOffset>
            </wp:positionV>
            <wp:extent cx="254000" cy="254000"/>
            <wp:effectExtent l="0" t="0" r="0" b="0"/>
            <wp:wrapTight wrapText="bothSides">
              <wp:wrapPolygon edited="0">
                <wp:start x="14040" y="0"/>
                <wp:lineTo x="0" y="5400"/>
                <wp:lineTo x="0" y="20520"/>
                <wp:lineTo x="20520" y="20520"/>
                <wp:lineTo x="20520" y="0"/>
                <wp:lineTo x="140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FC7B55">
        <w:rPr>
          <w:rFonts w:ascii="Arial MT Std" w:hAnsi="Arial MT Std" w:cs="Arial MT Std"/>
          <w:color w:val="000000"/>
          <w:sz w:val="16"/>
          <w:szCs w:val="16"/>
        </w:rPr>
        <w:tab/>
      </w:r>
      <w:r w:rsidRPr="00FC7B55">
        <w:rPr>
          <w:rFonts w:ascii="Arial MT Std" w:hAnsi="Arial MT Std" w:cs="Arial MT Std"/>
          <w:color w:val="000000"/>
          <w:sz w:val="12"/>
          <w:szCs w:val="12"/>
        </w:rPr>
        <w:t>Helena Laboratories, Corp.</w:t>
      </w:r>
    </w:p>
    <w:p w14:paraId="3B99F1AF" w14:textId="35AB13A8" w:rsidR="00FC7B55" w:rsidRPr="00FC7B55" w:rsidRDefault="00FC7B55" w:rsidP="00FC7B55">
      <w:pPr>
        <w:tabs>
          <w:tab w:val="left" w:pos="680"/>
        </w:tabs>
        <w:autoSpaceDE w:val="0"/>
        <w:autoSpaceDN w:val="0"/>
        <w:adjustRightInd w:val="0"/>
        <w:textAlignment w:val="center"/>
        <w:rPr>
          <w:rFonts w:ascii="Arial MT Std" w:hAnsi="Arial MT Std" w:cs="Arial MT Std"/>
          <w:color w:val="000000"/>
          <w:sz w:val="12"/>
          <w:szCs w:val="12"/>
        </w:rPr>
      </w:pPr>
      <w:r w:rsidRPr="00FC7B55">
        <w:rPr>
          <w:rFonts w:ascii="Arial MT Std" w:hAnsi="Arial MT Std" w:cs="Arial MT Std"/>
          <w:color w:val="000000"/>
          <w:sz w:val="12"/>
          <w:szCs w:val="12"/>
        </w:rPr>
        <w:tab/>
        <w:t>1530 Lindbergh Drive</w:t>
      </w:r>
    </w:p>
    <w:p w14:paraId="1BD98824" w14:textId="67F65573" w:rsidR="00FC7B55" w:rsidRPr="00FC7B55" w:rsidRDefault="00FC7B55" w:rsidP="00FC7B55">
      <w:pPr>
        <w:tabs>
          <w:tab w:val="left" w:pos="680"/>
        </w:tabs>
        <w:autoSpaceDE w:val="0"/>
        <w:autoSpaceDN w:val="0"/>
        <w:adjustRightInd w:val="0"/>
        <w:textAlignment w:val="center"/>
        <w:rPr>
          <w:rFonts w:ascii="Arial MT Std" w:hAnsi="Arial MT Std" w:cs="Arial MT Std"/>
          <w:color w:val="000000"/>
          <w:sz w:val="14"/>
          <w:szCs w:val="14"/>
        </w:rPr>
      </w:pPr>
      <w:r w:rsidRPr="00FC7B55">
        <w:rPr>
          <w:rFonts w:ascii="Arial MT Std" w:hAnsi="Arial MT Std" w:cs="Arial MT Std"/>
          <w:color w:val="000000"/>
          <w:sz w:val="12"/>
          <w:szCs w:val="12"/>
        </w:rPr>
        <w:tab/>
        <w:t>Beaumont, TX 77707 USA</w:t>
      </w:r>
    </w:p>
    <w:p w14:paraId="4FCC1755" w14:textId="5AEA9006" w:rsidR="00FC7B55" w:rsidRDefault="00FC7B55" w:rsidP="00FC7B55">
      <w:pPr>
        <w:autoSpaceDE w:val="0"/>
        <w:autoSpaceDN w:val="0"/>
        <w:adjustRightInd w:val="0"/>
        <w:spacing w:line="288" w:lineRule="auto"/>
        <w:textAlignment w:val="center"/>
        <w:rPr>
          <w:rFonts w:ascii="Arial MT Std" w:hAnsi="Arial MT Std" w:cs="Arial MT Std"/>
          <w:color w:val="000000"/>
          <w:spacing w:val="-1"/>
          <w:sz w:val="10"/>
          <w:szCs w:val="10"/>
        </w:rPr>
      </w:pPr>
    </w:p>
    <w:p w14:paraId="403B2BA0" w14:textId="72AD8205" w:rsidR="00FC7B55" w:rsidRDefault="00FC7B55" w:rsidP="00FC7B55">
      <w:pPr>
        <w:autoSpaceDE w:val="0"/>
        <w:autoSpaceDN w:val="0"/>
        <w:adjustRightInd w:val="0"/>
        <w:spacing w:line="288" w:lineRule="auto"/>
        <w:textAlignment w:val="center"/>
        <w:rPr>
          <w:rFonts w:ascii="Arial MT Std" w:hAnsi="Arial MT Std" w:cs="Arial MT Std"/>
          <w:color w:val="000000"/>
          <w:spacing w:val="-1"/>
          <w:sz w:val="10"/>
          <w:szCs w:val="10"/>
        </w:rPr>
      </w:pPr>
    </w:p>
    <w:p w14:paraId="03487E16" w14:textId="4406BCC5" w:rsidR="00FC7B55" w:rsidRPr="00FC7B55" w:rsidRDefault="00FC7B55" w:rsidP="00FC7B55">
      <w:pPr>
        <w:autoSpaceDE w:val="0"/>
        <w:autoSpaceDN w:val="0"/>
        <w:adjustRightInd w:val="0"/>
        <w:spacing w:line="288" w:lineRule="auto"/>
        <w:textAlignment w:val="center"/>
        <w:rPr>
          <w:rFonts w:ascii="Arial MT Std" w:hAnsi="Arial MT Std" w:cs="Arial MT Std"/>
          <w:color w:val="000000"/>
          <w:spacing w:val="-1"/>
          <w:sz w:val="10"/>
          <w:szCs w:val="10"/>
        </w:rPr>
      </w:pPr>
      <w:r w:rsidRPr="00FC7B55">
        <w:rPr>
          <w:rFonts w:ascii="Arial MT Std" w:hAnsi="Arial MT Std" w:cs="Arial MT Std"/>
          <w:color w:val="000000"/>
          <w:spacing w:val="-1"/>
          <w:sz w:val="10"/>
          <w:szCs w:val="10"/>
        </w:rPr>
        <w:t>Pro 190</w:t>
      </w:r>
    </w:p>
    <w:p w14:paraId="42464A1F" w14:textId="0F19BD87" w:rsidR="00410F21" w:rsidRPr="00410F21" w:rsidRDefault="00FC7B55" w:rsidP="00FC7B55">
      <w:pPr>
        <w:tabs>
          <w:tab w:val="left" w:pos="720"/>
        </w:tabs>
        <w:suppressAutoHyphens/>
        <w:autoSpaceDE w:val="0"/>
        <w:autoSpaceDN w:val="0"/>
        <w:adjustRightInd w:val="0"/>
        <w:spacing w:line="288" w:lineRule="auto"/>
        <w:textAlignment w:val="center"/>
        <w:rPr>
          <w:rFonts w:ascii="Arial MT Std" w:hAnsi="Arial MT Std" w:cs="Arial MT Std"/>
          <w:color w:val="000000"/>
          <w:sz w:val="16"/>
          <w:szCs w:val="16"/>
        </w:rPr>
      </w:pPr>
      <w:r w:rsidRPr="00FC7B55">
        <w:rPr>
          <w:rFonts w:ascii="Arial MT Std" w:hAnsi="Arial MT Std" w:cs="Arial MT Std"/>
          <w:color w:val="000000"/>
          <w:spacing w:val="-1"/>
          <w:sz w:val="10"/>
          <w:szCs w:val="10"/>
        </w:rPr>
        <w:t>12/22(11)</w:t>
      </w:r>
    </w:p>
    <w:p w14:paraId="1D965BA2" w14:textId="7BA7DA29" w:rsidR="00410F21" w:rsidRPr="00410F21" w:rsidRDefault="00410F21" w:rsidP="00FC7B55">
      <w:pPr>
        <w:tabs>
          <w:tab w:val="left" w:pos="720"/>
        </w:tabs>
        <w:suppressAutoHyphens/>
        <w:autoSpaceDE w:val="0"/>
        <w:autoSpaceDN w:val="0"/>
        <w:adjustRightInd w:val="0"/>
        <w:spacing w:line="288" w:lineRule="auto"/>
        <w:textAlignment w:val="center"/>
        <w:rPr>
          <w:rFonts w:ascii="Arial MT Std" w:hAnsi="Arial MT Std" w:cs="Arial MT Std"/>
          <w:color w:val="000000"/>
          <w:sz w:val="16"/>
          <w:szCs w:val="16"/>
        </w:rPr>
      </w:pPr>
      <w:r w:rsidRPr="00410F21">
        <w:rPr>
          <w:rFonts w:ascii="Arial MT Std" w:hAnsi="Arial MT Std" w:cs="Arial MT Std"/>
          <w:color w:val="000000"/>
          <w:sz w:val="16"/>
          <w:szCs w:val="16"/>
        </w:rPr>
        <w:tab/>
      </w:r>
    </w:p>
    <w:p w14:paraId="2C461D8F" w14:textId="1DA54915" w:rsidR="00410F21" w:rsidRPr="00410F21" w:rsidRDefault="00410F21" w:rsidP="00410F21">
      <w:pPr>
        <w:tabs>
          <w:tab w:val="left" w:pos="720"/>
        </w:tabs>
        <w:suppressAutoHyphens/>
        <w:autoSpaceDE w:val="0"/>
        <w:autoSpaceDN w:val="0"/>
        <w:adjustRightInd w:val="0"/>
        <w:spacing w:line="288" w:lineRule="auto"/>
        <w:textAlignment w:val="center"/>
        <w:rPr>
          <w:rFonts w:ascii="Arial MT Std" w:hAnsi="Arial MT Std" w:cs="Arial MT Std"/>
          <w:color w:val="000000"/>
          <w:sz w:val="16"/>
          <w:szCs w:val="16"/>
        </w:rPr>
      </w:pPr>
    </w:p>
    <w:p w14:paraId="058DA0FE" w14:textId="4A9E1153" w:rsidR="00410F21" w:rsidRPr="00410F21" w:rsidRDefault="00410F21" w:rsidP="00FC7B55">
      <w:pPr>
        <w:tabs>
          <w:tab w:val="left" w:pos="680"/>
        </w:tabs>
        <w:autoSpaceDE w:val="0"/>
        <w:autoSpaceDN w:val="0"/>
        <w:adjustRightInd w:val="0"/>
        <w:textAlignment w:val="center"/>
        <w:rPr>
          <w:rFonts w:ascii="Arial MT Std" w:hAnsi="Arial MT Std" w:cs="Arial MT Std"/>
          <w:color w:val="000000"/>
          <w:sz w:val="16"/>
          <w:szCs w:val="16"/>
        </w:rPr>
      </w:pPr>
      <w:r w:rsidRPr="00410F21">
        <w:rPr>
          <w:rFonts w:ascii="Arial MT Std" w:hAnsi="Arial MT Std" w:cs="Arial MT Std"/>
          <w:color w:val="000000"/>
          <w:sz w:val="16"/>
          <w:szCs w:val="16"/>
        </w:rPr>
        <w:tab/>
      </w:r>
    </w:p>
    <w:p w14:paraId="21159563" w14:textId="326E27B5" w:rsidR="008E1445" w:rsidRDefault="00FC7B55" w:rsidP="008E1445">
      <w:pPr>
        <w:autoSpaceDE w:val="0"/>
        <w:autoSpaceDN w:val="0"/>
        <w:adjustRightInd w:val="0"/>
        <w:spacing w:line="288" w:lineRule="auto"/>
        <w:textAlignment w:val="center"/>
        <w:rPr>
          <w:rFonts w:ascii="Arial MT Std" w:hAnsi="Arial MT Std" w:cs="Arial MT Std"/>
          <w:color w:val="000000"/>
          <w:spacing w:val="-1"/>
          <w:sz w:val="16"/>
          <w:szCs w:val="16"/>
        </w:rPr>
      </w:pPr>
      <w:r w:rsidRPr="006F1CC4">
        <w:rPr>
          <w:noProof/>
          <w:sz w:val="20"/>
          <w:szCs w:val="20"/>
        </w:rPr>
        <w:drawing>
          <wp:inline distT="0" distB="0" distL="0" distR="0" wp14:anchorId="46F60E1D" wp14:editId="688853B0">
            <wp:extent cx="2095500" cy="73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500" cy="736600"/>
                    </a:xfrm>
                    <a:prstGeom prst="rect">
                      <a:avLst/>
                    </a:prstGeom>
                  </pic:spPr>
                </pic:pic>
              </a:graphicData>
            </a:graphic>
          </wp:inline>
        </w:drawing>
      </w:r>
    </w:p>
    <w:p w14:paraId="1F81360D" w14:textId="77777777" w:rsidR="008E1445" w:rsidRDefault="008E1445" w:rsidP="008E1445">
      <w:pPr>
        <w:autoSpaceDE w:val="0"/>
        <w:autoSpaceDN w:val="0"/>
        <w:adjustRightInd w:val="0"/>
        <w:spacing w:line="288" w:lineRule="auto"/>
        <w:textAlignment w:val="center"/>
        <w:rPr>
          <w:rFonts w:ascii="Arial MT Std" w:hAnsi="Arial MT Std" w:cs="Arial MT Std"/>
          <w:color w:val="000000"/>
          <w:spacing w:val="-1"/>
          <w:sz w:val="16"/>
          <w:szCs w:val="16"/>
        </w:rPr>
      </w:pPr>
    </w:p>
    <w:p w14:paraId="2BA573A3" w14:textId="77777777" w:rsidR="0032432B" w:rsidRPr="0032432B" w:rsidRDefault="0032432B" w:rsidP="008E1445">
      <w:pPr>
        <w:tabs>
          <w:tab w:val="left" w:pos="720"/>
        </w:tabs>
        <w:suppressAutoHyphens/>
        <w:autoSpaceDE w:val="0"/>
        <w:autoSpaceDN w:val="0"/>
        <w:adjustRightInd w:val="0"/>
        <w:spacing w:line="288" w:lineRule="auto"/>
        <w:textAlignment w:val="center"/>
        <w:rPr>
          <w:rFonts w:ascii="Arial MT Std" w:hAnsi="Arial MT Std" w:cs="Arial MT Std"/>
          <w:color w:val="000000"/>
          <w:sz w:val="20"/>
          <w:szCs w:val="20"/>
        </w:rPr>
      </w:pPr>
    </w:p>
    <w:p w14:paraId="05520524" w14:textId="409CA192" w:rsidR="0032432B" w:rsidRPr="0032432B" w:rsidRDefault="0032432B" w:rsidP="0032432B">
      <w:pPr>
        <w:tabs>
          <w:tab w:val="left" w:pos="720"/>
        </w:tabs>
        <w:suppressAutoHyphens/>
        <w:autoSpaceDE w:val="0"/>
        <w:autoSpaceDN w:val="0"/>
        <w:adjustRightInd w:val="0"/>
        <w:spacing w:line="288" w:lineRule="auto"/>
        <w:textAlignment w:val="center"/>
        <w:rPr>
          <w:rFonts w:ascii="Arial MT Std" w:hAnsi="Arial MT Std" w:cs="Arial MT Std"/>
          <w:color w:val="000000"/>
          <w:sz w:val="20"/>
          <w:szCs w:val="20"/>
        </w:rPr>
      </w:pPr>
      <w:r w:rsidRPr="0032432B">
        <w:rPr>
          <w:rFonts w:ascii="Arial MT Std" w:hAnsi="Arial MT Std" w:cs="Arial MT Std"/>
          <w:color w:val="000000"/>
          <w:sz w:val="20"/>
          <w:szCs w:val="20"/>
        </w:rPr>
        <w:tab/>
      </w:r>
    </w:p>
    <w:p w14:paraId="369BF026" w14:textId="77777777" w:rsidR="0032432B" w:rsidRPr="0032432B" w:rsidRDefault="0032432B" w:rsidP="0032432B">
      <w:pPr>
        <w:tabs>
          <w:tab w:val="left" w:pos="720"/>
        </w:tabs>
        <w:suppressAutoHyphens/>
        <w:autoSpaceDE w:val="0"/>
        <w:autoSpaceDN w:val="0"/>
        <w:adjustRightInd w:val="0"/>
        <w:spacing w:line="288" w:lineRule="auto"/>
        <w:textAlignment w:val="center"/>
        <w:rPr>
          <w:rFonts w:ascii="Arial MT Std" w:hAnsi="Arial MT Std" w:cs="Arial MT Std"/>
          <w:color w:val="000000"/>
          <w:spacing w:val="-1"/>
          <w:sz w:val="20"/>
          <w:szCs w:val="20"/>
        </w:rPr>
      </w:pPr>
    </w:p>
    <w:p w14:paraId="23BC9350" w14:textId="146C3331" w:rsidR="006F1CC4" w:rsidRDefault="006F1CC4" w:rsidP="008B0B47">
      <w:pPr>
        <w:pStyle w:val="Default"/>
        <w:rPr>
          <w:rFonts w:ascii="Arial MT Std" w:hAnsi="Arial MT Std" w:cs="Arial MT Std"/>
          <w:spacing w:val="-1"/>
          <w:sz w:val="20"/>
          <w:szCs w:val="20"/>
        </w:rPr>
      </w:pPr>
    </w:p>
    <w:p w14:paraId="15F48B16" w14:textId="258039B0" w:rsidR="006F1CC4" w:rsidRPr="0032432B" w:rsidRDefault="006F1CC4" w:rsidP="008B0B47">
      <w:pPr>
        <w:pStyle w:val="Default"/>
        <w:rPr>
          <w:color w:val="auto"/>
          <w:sz w:val="20"/>
          <w:szCs w:val="20"/>
        </w:rPr>
      </w:pPr>
    </w:p>
    <w:sectPr w:rsidR="006F1CC4" w:rsidRPr="0032432B" w:rsidSect="00956BF5">
      <w:pgSz w:w="12240" w:h="15840"/>
      <w:pgMar w:top="1080" w:right="1080" w:bottom="108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MT Std">
    <w:altName w:val="Arial Narrow MT Std"/>
    <w:panose1 w:val="020B0506020202030204"/>
    <w:charset w:val="00"/>
    <w:family w:val="swiss"/>
    <w:pitch w:val="variable"/>
    <w:sig w:usb0="800000AF" w:usb1="4000204A" w:usb2="00000000" w:usb3="00000000" w:csb0="00000001" w:csb1="00000000"/>
  </w:font>
  <w:font w:name="Arial MT Std">
    <w:altName w:val="Arial MT Std"/>
    <w:panose1 w:val="020B0402020200020204"/>
    <w:charset w:val="00"/>
    <w:family w:val="swiss"/>
    <w:notTrueType/>
    <w:pitch w:val="variable"/>
    <w:sig w:usb0="800000AF" w:usb1="4000204A"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8.05pt;height:11pt;visibility:visible;mso-wrap-style:square" o:bullet="t">
        <v:imagedata r:id="rId1" o:title=""/>
      </v:shape>
    </w:pict>
  </w:numPicBullet>
  <w:abstractNum w:abstractNumId="0" w15:restartNumberingAfterBreak="0">
    <w:nsid w:val="11D42173"/>
    <w:multiLevelType w:val="hybridMultilevel"/>
    <w:tmpl w:val="5AA832AE"/>
    <w:lvl w:ilvl="0" w:tplc="FBF44AE0">
      <w:start w:val="1"/>
      <w:numFmt w:val="decimal"/>
      <w:lvlText w:val="%1)"/>
      <w:lvlJc w:val="left"/>
      <w:pPr>
        <w:tabs>
          <w:tab w:val="num" w:pos="630"/>
        </w:tabs>
        <w:ind w:left="630" w:hanging="510"/>
      </w:pPr>
      <w:rPr>
        <w:rFonts w:cs="Times New Roman" w:hint="default"/>
      </w:rPr>
    </w:lvl>
    <w:lvl w:ilvl="1" w:tplc="00190409">
      <w:start w:val="1"/>
      <w:numFmt w:val="lowerLetter"/>
      <w:lvlText w:val="%2."/>
      <w:lvlJc w:val="left"/>
      <w:pPr>
        <w:tabs>
          <w:tab w:val="num" w:pos="1200"/>
        </w:tabs>
        <w:ind w:left="1200" w:hanging="360"/>
      </w:pPr>
      <w:rPr>
        <w:rFonts w:cs="Times New Roman"/>
      </w:rPr>
    </w:lvl>
    <w:lvl w:ilvl="2" w:tplc="001B0409">
      <w:start w:val="1"/>
      <w:numFmt w:val="lowerRoman"/>
      <w:lvlText w:val="%3."/>
      <w:lvlJc w:val="right"/>
      <w:pPr>
        <w:tabs>
          <w:tab w:val="num" w:pos="1920"/>
        </w:tabs>
        <w:ind w:left="1920" w:hanging="180"/>
      </w:pPr>
      <w:rPr>
        <w:rFonts w:cs="Times New Roman"/>
      </w:rPr>
    </w:lvl>
    <w:lvl w:ilvl="3" w:tplc="000F0409">
      <w:start w:val="1"/>
      <w:numFmt w:val="decimal"/>
      <w:lvlText w:val="%4."/>
      <w:lvlJc w:val="left"/>
      <w:pPr>
        <w:tabs>
          <w:tab w:val="num" w:pos="2640"/>
        </w:tabs>
        <w:ind w:left="2640" w:hanging="360"/>
      </w:pPr>
      <w:rPr>
        <w:rFonts w:cs="Times New Roman"/>
      </w:rPr>
    </w:lvl>
    <w:lvl w:ilvl="4" w:tplc="00190409">
      <w:start w:val="1"/>
      <w:numFmt w:val="lowerLetter"/>
      <w:lvlText w:val="%5."/>
      <w:lvlJc w:val="left"/>
      <w:pPr>
        <w:tabs>
          <w:tab w:val="num" w:pos="3360"/>
        </w:tabs>
        <w:ind w:left="3360" w:hanging="360"/>
      </w:pPr>
      <w:rPr>
        <w:rFonts w:cs="Times New Roman"/>
      </w:rPr>
    </w:lvl>
    <w:lvl w:ilvl="5" w:tplc="001B0409">
      <w:start w:val="1"/>
      <w:numFmt w:val="lowerRoman"/>
      <w:lvlText w:val="%6."/>
      <w:lvlJc w:val="right"/>
      <w:pPr>
        <w:tabs>
          <w:tab w:val="num" w:pos="4080"/>
        </w:tabs>
        <w:ind w:left="4080" w:hanging="180"/>
      </w:pPr>
      <w:rPr>
        <w:rFonts w:cs="Times New Roman"/>
      </w:rPr>
    </w:lvl>
    <w:lvl w:ilvl="6" w:tplc="000F0409">
      <w:start w:val="1"/>
      <w:numFmt w:val="decimal"/>
      <w:lvlText w:val="%7."/>
      <w:lvlJc w:val="left"/>
      <w:pPr>
        <w:tabs>
          <w:tab w:val="num" w:pos="4800"/>
        </w:tabs>
        <w:ind w:left="4800" w:hanging="360"/>
      </w:pPr>
      <w:rPr>
        <w:rFonts w:cs="Times New Roman"/>
      </w:rPr>
    </w:lvl>
    <w:lvl w:ilvl="7" w:tplc="00190409">
      <w:start w:val="1"/>
      <w:numFmt w:val="lowerLetter"/>
      <w:lvlText w:val="%8."/>
      <w:lvlJc w:val="left"/>
      <w:pPr>
        <w:tabs>
          <w:tab w:val="num" w:pos="5520"/>
        </w:tabs>
        <w:ind w:left="5520" w:hanging="360"/>
      </w:pPr>
      <w:rPr>
        <w:rFonts w:cs="Times New Roman"/>
      </w:rPr>
    </w:lvl>
    <w:lvl w:ilvl="8" w:tplc="001B0409">
      <w:start w:val="1"/>
      <w:numFmt w:val="lowerRoman"/>
      <w:lvlText w:val="%9."/>
      <w:lvlJc w:val="right"/>
      <w:pPr>
        <w:tabs>
          <w:tab w:val="num" w:pos="6240"/>
        </w:tabs>
        <w:ind w:left="6240" w:hanging="180"/>
      </w:pPr>
      <w:rPr>
        <w:rFonts w:cs="Times New Roman"/>
      </w:rPr>
    </w:lvl>
  </w:abstractNum>
  <w:abstractNum w:abstractNumId="1" w15:restartNumberingAfterBreak="0">
    <w:nsid w:val="1D258CAF"/>
    <w:multiLevelType w:val="multilevel"/>
    <w:tmpl w:val="1D258C24"/>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F712BE5"/>
    <w:multiLevelType w:val="multilevel"/>
    <w:tmpl w:val="1F712B6E"/>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F765DAA"/>
    <w:multiLevelType w:val="multilevel"/>
    <w:tmpl w:val="1F765C1A"/>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F784BEB"/>
    <w:multiLevelType w:val="multilevel"/>
    <w:tmpl w:val="1F784B87"/>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F7A6D0A"/>
    <w:multiLevelType w:val="multilevel"/>
    <w:tmpl w:val="1F7A6C9D"/>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122B6C6"/>
    <w:multiLevelType w:val="multilevel"/>
    <w:tmpl w:val="2122B658"/>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12BF952"/>
    <w:multiLevelType w:val="multilevel"/>
    <w:tmpl w:val="212BF8B4"/>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55E621CB"/>
    <w:multiLevelType w:val="multilevel"/>
    <w:tmpl w:val="2123B5D9"/>
    <w:lvl w:ilvl="0">
      <w:start w:val="1"/>
      <w:numFmt w:val="decimal"/>
      <w:suff w:val="nothing"/>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5A5A7105"/>
    <w:multiLevelType w:val="hybridMultilevel"/>
    <w:tmpl w:val="19BA3396"/>
    <w:lvl w:ilvl="0" w:tplc="4ED0EA20">
      <w:start w:val="2"/>
      <w:numFmt w:val="bullet"/>
      <w:lvlText w:val="-"/>
      <w:lvlJc w:val="left"/>
      <w:pPr>
        <w:tabs>
          <w:tab w:val="num" w:pos="1065"/>
        </w:tabs>
        <w:ind w:left="1065" w:hanging="435"/>
      </w:pPr>
      <w:rPr>
        <w:rFonts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start w:val="1"/>
      <w:numFmt w:val="bullet"/>
      <w:lvlText w:val=""/>
      <w:lvlJc w:val="left"/>
      <w:pPr>
        <w:tabs>
          <w:tab w:val="num" w:pos="2430"/>
        </w:tabs>
        <w:ind w:left="2430" w:hanging="360"/>
      </w:pPr>
      <w:rPr>
        <w:rFonts w:ascii="Wingdings" w:hAnsi="Wingdings" w:hint="default"/>
      </w:rPr>
    </w:lvl>
    <w:lvl w:ilvl="3" w:tplc="00010409">
      <w:start w:val="1"/>
      <w:numFmt w:val="bullet"/>
      <w:lvlText w:val=""/>
      <w:lvlJc w:val="left"/>
      <w:pPr>
        <w:tabs>
          <w:tab w:val="num" w:pos="3150"/>
        </w:tabs>
        <w:ind w:left="3150" w:hanging="360"/>
      </w:pPr>
      <w:rPr>
        <w:rFonts w:ascii="Symbol" w:eastAsia="Times New Roman" w:hAnsi="Symbol" w:hint="default"/>
      </w:rPr>
    </w:lvl>
    <w:lvl w:ilvl="4" w:tplc="00030409">
      <w:start w:val="1"/>
      <w:numFmt w:val="bullet"/>
      <w:lvlText w:val="o"/>
      <w:lvlJc w:val="left"/>
      <w:pPr>
        <w:tabs>
          <w:tab w:val="num" w:pos="3870"/>
        </w:tabs>
        <w:ind w:left="3870" w:hanging="360"/>
      </w:pPr>
      <w:rPr>
        <w:rFonts w:ascii="Courier New" w:hAnsi="Courier New" w:hint="default"/>
      </w:rPr>
    </w:lvl>
    <w:lvl w:ilvl="5" w:tplc="00050409">
      <w:start w:val="1"/>
      <w:numFmt w:val="bullet"/>
      <w:lvlText w:val=""/>
      <w:lvlJc w:val="left"/>
      <w:pPr>
        <w:tabs>
          <w:tab w:val="num" w:pos="4590"/>
        </w:tabs>
        <w:ind w:left="4590" w:hanging="360"/>
      </w:pPr>
      <w:rPr>
        <w:rFonts w:ascii="Wingdings" w:hAnsi="Wingdings" w:hint="default"/>
      </w:rPr>
    </w:lvl>
    <w:lvl w:ilvl="6" w:tplc="00010409">
      <w:start w:val="1"/>
      <w:numFmt w:val="bullet"/>
      <w:lvlText w:val=""/>
      <w:lvlJc w:val="left"/>
      <w:pPr>
        <w:tabs>
          <w:tab w:val="num" w:pos="5310"/>
        </w:tabs>
        <w:ind w:left="5310" w:hanging="360"/>
      </w:pPr>
      <w:rPr>
        <w:rFonts w:ascii="Symbol" w:eastAsia="Times New Roman" w:hAnsi="Symbol" w:hint="default"/>
      </w:rPr>
    </w:lvl>
    <w:lvl w:ilvl="7" w:tplc="00030409">
      <w:start w:val="1"/>
      <w:numFmt w:val="bullet"/>
      <w:lvlText w:val="o"/>
      <w:lvlJc w:val="left"/>
      <w:pPr>
        <w:tabs>
          <w:tab w:val="num" w:pos="6030"/>
        </w:tabs>
        <w:ind w:left="6030" w:hanging="360"/>
      </w:pPr>
      <w:rPr>
        <w:rFonts w:ascii="Courier New" w:hAnsi="Courier New" w:hint="default"/>
      </w:rPr>
    </w:lvl>
    <w:lvl w:ilvl="8" w:tplc="00050409">
      <w:start w:val="1"/>
      <w:numFmt w:val="bullet"/>
      <w:lvlText w:val=""/>
      <w:lvlJc w:val="left"/>
      <w:pPr>
        <w:tabs>
          <w:tab w:val="num" w:pos="6750"/>
        </w:tabs>
        <w:ind w:left="6750" w:hanging="360"/>
      </w:pPr>
      <w:rPr>
        <w:rFonts w:ascii="Wingdings" w:hAnsi="Wingdings" w:hint="default"/>
      </w:rPr>
    </w:lvl>
  </w:abstractNum>
  <w:num w:numId="1" w16cid:durableId="1770540253">
    <w:abstractNumId w:val="1"/>
  </w:num>
  <w:num w:numId="2" w16cid:durableId="435491672">
    <w:abstractNumId w:val="2"/>
  </w:num>
  <w:num w:numId="3" w16cid:durableId="1773234643">
    <w:abstractNumId w:val="3"/>
  </w:num>
  <w:num w:numId="4" w16cid:durableId="811681154">
    <w:abstractNumId w:val="4"/>
  </w:num>
  <w:num w:numId="5" w16cid:durableId="932592118">
    <w:abstractNumId w:val="5"/>
  </w:num>
  <w:num w:numId="6" w16cid:durableId="472334628">
    <w:abstractNumId w:val="6"/>
  </w:num>
  <w:num w:numId="7" w16cid:durableId="736903047">
    <w:abstractNumId w:val="7"/>
  </w:num>
  <w:num w:numId="8" w16cid:durableId="1924365030">
    <w:abstractNumId w:val="9"/>
  </w:num>
  <w:num w:numId="9" w16cid:durableId="2048292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8"/>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85D"/>
    <w:rsid w:val="0032432B"/>
    <w:rsid w:val="00410F21"/>
    <w:rsid w:val="00462AA3"/>
    <w:rsid w:val="004D5955"/>
    <w:rsid w:val="006A685D"/>
    <w:rsid w:val="006F1CC4"/>
    <w:rsid w:val="00774CDE"/>
    <w:rsid w:val="007D1954"/>
    <w:rsid w:val="008B0B47"/>
    <w:rsid w:val="008B5656"/>
    <w:rsid w:val="008E1445"/>
    <w:rsid w:val="00956BF5"/>
    <w:rsid w:val="009E7438"/>
    <w:rsid w:val="00B6315B"/>
    <w:rsid w:val="00C34449"/>
    <w:rsid w:val="00DD7B8C"/>
    <w:rsid w:val="00FC7B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795F77"/>
  <w14:defaultImageDpi w14:val="0"/>
  <w15:docId w15:val="{6660A4D4-9CB5-4847-88E7-D4AB7DA6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uiPriority w:val="99"/>
    <w:rPr>
      <w:color w:val="auto"/>
    </w:rPr>
  </w:style>
  <w:style w:type="paragraph" w:customStyle="1" w:styleId="CM19">
    <w:name w:val="CM19"/>
    <w:basedOn w:val="Default"/>
    <w:next w:val="Default"/>
    <w:uiPriority w:val="99"/>
    <w:pPr>
      <w:spacing w:after="380"/>
    </w:pPr>
    <w:rPr>
      <w:color w:val="auto"/>
    </w:rPr>
  </w:style>
  <w:style w:type="paragraph" w:customStyle="1" w:styleId="CM2">
    <w:name w:val="CM2"/>
    <w:basedOn w:val="Default"/>
    <w:next w:val="Default"/>
    <w:uiPriority w:val="99"/>
    <w:pPr>
      <w:spacing w:line="193" w:lineRule="atLeast"/>
    </w:pPr>
    <w:rPr>
      <w:color w:val="auto"/>
    </w:rPr>
  </w:style>
  <w:style w:type="paragraph" w:customStyle="1" w:styleId="CM20">
    <w:name w:val="CM20"/>
    <w:basedOn w:val="Default"/>
    <w:next w:val="Default"/>
    <w:uiPriority w:val="99"/>
    <w:pPr>
      <w:spacing w:after="73"/>
    </w:pPr>
    <w:rPr>
      <w:color w:val="auto"/>
    </w:rPr>
  </w:style>
  <w:style w:type="paragraph" w:customStyle="1" w:styleId="CM3">
    <w:name w:val="CM3"/>
    <w:basedOn w:val="Default"/>
    <w:next w:val="Default"/>
    <w:uiPriority w:val="99"/>
    <w:pPr>
      <w:spacing w:line="193" w:lineRule="atLeast"/>
    </w:pPr>
    <w:rPr>
      <w:color w:val="auto"/>
    </w:rPr>
  </w:style>
  <w:style w:type="paragraph" w:customStyle="1" w:styleId="CM4">
    <w:name w:val="CM4"/>
    <w:basedOn w:val="Default"/>
    <w:next w:val="Default"/>
    <w:uiPriority w:val="99"/>
    <w:pPr>
      <w:spacing w:line="193" w:lineRule="atLeast"/>
    </w:pPr>
    <w:rPr>
      <w:color w:val="auto"/>
    </w:rPr>
  </w:style>
  <w:style w:type="paragraph" w:customStyle="1" w:styleId="CM5">
    <w:name w:val="CM5"/>
    <w:basedOn w:val="Default"/>
    <w:next w:val="Default"/>
    <w:uiPriority w:val="99"/>
    <w:pPr>
      <w:spacing w:line="216" w:lineRule="atLeast"/>
    </w:pPr>
    <w:rPr>
      <w:color w:val="auto"/>
    </w:rPr>
  </w:style>
  <w:style w:type="paragraph" w:customStyle="1" w:styleId="CM7">
    <w:name w:val="CM7"/>
    <w:basedOn w:val="Default"/>
    <w:next w:val="Default"/>
    <w:uiPriority w:val="99"/>
    <w:pPr>
      <w:spacing w:line="193" w:lineRule="atLeast"/>
    </w:pPr>
    <w:rPr>
      <w:color w:val="auto"/>
    </w:rPr>
  </w:style>
  <w:style w:type="paragraph" w:customStyle="1" w:styleId="CM11">
    <w:name w:val="CM11"/>
    <w:basedOn w:val="Default"/>
    <w:next w:val="Default"/>
    <w:uiPriority w:val="99"/>
    <w:pPr>
      <w:spacing w:line="191" w:lineRule="atLeast"/>
    </w:pPr>
    <w:rPr>
      <w:color w:val="auto"/>
    </w:rPr>
  </w:style>
  <w:style w:type="paragraph" w:customStyle="1" w:styleId="CM12">
    <w:name w:val="CM12"/>
    <w:basedOn w:val="Default"/>
    <w:next w:val="Default"/>
    <w:uiPriority w:val="99"/>
    <w:rPr>
      <w:color w:val="auto"/>
    </w:rPr>
  </w:style>
  <w:style w:type="paragraph" w:customStyle="1" w:styleId="CM21">
    <w:name w:val="CM21"/>
    <w:basedOn w:val="Default"/>
    <w:next w:val="Default"/>
    <w:uiPriority w:val="99"/>
    <w:pPr>
      <w:spacing w:after="262"/>
    </w:pPr>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22">
    <w:name w:val="CM22"/>
    <w:basedOn w:val="Default"/>
    <w:next w:val="Default"/>
    <w:uiPriority w:val="99"/>
    <w:pPr>
      <w:spacing w:after="120"/>
    </w:pPr>
    <w:rPr>
      <w:color w:val="auto"/>
    </w:rPr>
  </w:style>
  <w:style w:type="paragraph" w:customStyle="1" w:styleId="CM23">
    <w:name w:val="CM23"/>
    <w:basedOn w:val="Default"/>
    <w:next w:val="Default"/>
    <w:uiPriority w:val="99"/>
    <w:pPr>
      <w:spacing w:after="70"/>
    </w:pPr>
    <w:rPr>
      <w:color w:val="auto"/>
    </w:rPr>
  </w:style>
  <w:style w:type="paragraph" w:customStyle="1" w:styleId="CM24">
    <w:name w:val="CM24"/>
    <w:basedOn w:val="Default"/>
    <w:next w:val="Default"/>
    <w:uiPriority w:val="99"/>
    <w:pPr>
      <w:spacing w:after="285"/>
    </w:pPr>
    <w:rPr>
      <w:color w:val="auto"/>
    </w:rPr>
  </w:style>
  <w:style w:type="paragraph" w:customStyle="1" w:styleId="CM16">
    <w:name w:val="CM16"/>
    <w:basedOn w:val="Default"/>
    <w:next w:val="Default"/>
    <w:uiPriority w:val="99"/>
    <w:pPr>
      <w:spacing w:line="193" w:lineRule="atLeast"/>
    </w:pPr>
    <w:rPr>
      <w:color w:val="auto"/>
    </w:rPr>
  </w:style>
  <w:style w:type="paragraph" w:customStyle="1" w:styleId="AllCapsSubhead">
    <w:name w:val="AllCapsSubhead"/>
    <w:basedOn w:val="Normal"/>
    <w:uiPriority w:val="99"/>
    <w:pPr>
      <w:widowControl w:val="0"/>
      <w:suppressAutoHyphens/>
      <w:autoSpaceDE w:val="0"/>
      <w:autoSpaceDN w:val="0"/>
      <w:adjustRightInd w:val="0"/>
      <w:spacing w:before="40" w:line="288" w:lineRule="auto"/>
      <w:textAlignment w:val="center"/>
    </w:pPr>
    <w:rPr>
      <w:rFonts w:ascii="Helvetica" w:hAnsi="Helvetica" w:cs="Helvetica"/>
      <w:b/>
      <w:bCs/>
      <w:color w:val="000000"/>
      <w:sz w:val="18"/>
      <w:szCs w:val="18"/>
    </w:rPr>
  </w:style>
  <w:style w:type="paragraph" w:customStyle="1" w:styleId="BodyCopy">
    <w:name w:val="Body Copy"/>
    <w:basedOn w:val="Normal"/>
    <w:uiPriority w:val="99"/>
    <w:pPr>
      <w:widowControl w:val="0"/>
      <w:suppressAutoHyphens/>
      <w:autoSpaceDE w:val="0"/>
      <w:autoSpaceDN w:val="0"/>
      <w:adjustRightInd w:val="0"/>
      <w:spacing w:line="288" w:lineRule="auto"/>
      <w:jc w:val="both"/>
      <w:textAlignment w:val="center"/>
    </w:pPr>
    <w:rPr>
      <w:rFonts w:ascii="Helvetica" w:hAnsi="Helvetica" w:cs="Helvetica"/>
      <w:color w:val="000000"/>
      <w:sz w:val="16"/>
      <w:szCs w:val="16"/>
    </w:rPr>
  </w:style>
  <w:style w:type="paragraph" w:customStyle="1" w:styleId="DefaultText">
    <w:name w:val="Default Text"/>
    <w:basedOn w:val="Normal"/>
    <w:uiPriority w:val="99"/>
    <w:pPr>
      <w:overflowPunct w:val="0"/>
      <w:autoSpaceDE w:val="0"/>
      <w:autoSpaceDN w:val="0"/>
      <w:adjustRightInd w:val="0"/>
      <w:textAlignment w:val="baseline"/>
    </w:pPr>
    <w:rPr>
      <w:rFonts w:cs="Times New Roman"/>
    </w:rPr>
  </w:style>
  <w:style w:type="paragraph" w:customStyle="1" w:styleId="NoParagraphStyle">
    <w:name w:val="[No Paragraph Style]"/>
    <w:rsid w:val="00774CDE"/>
    <w:pPr>
      <w:widowControl w:val="0"/>
      <w:autoSpaceDE w:val="0"/>
      <w:autoSpaceDN w:val="0"/>
      <w:adjustRightInd w:val="0"/>
      <w:spacing w:line="288" w:lineRule="auto"/>
      <w:textAlignment w:val="center"/>
    </w:pPr>
    <w:rPr>
      <w:rFonts w:ascii="Times" w:hAnsi="Times" w:cs="Times"/>
      <w:color w:val="000000"/>
      <w:sz w:val="24"/>
      <w:szCs w:val="24"/>
    </w:rPr>
  </w:style>
  <w:style w:type="paragraph" w:customStyle="1" w:styleId="Subhead">
    <w:name w:val="Subhead"/>
    <w:basedOn w:val="NoParagraphStyle"/>
    <w:uiPriority w:val="99"/>
    <w:rsid w:val="00956BF5"/>
    <w:pPr>
      <w:suppressAutoHyphens/>
    </w:pPr>
    <w:rPr>
      <w:rFonts w:ascii="Helvetica" w:hAnsi="Helvetica" w:cs="Helvetica"/>
      <w:b/>
      <w:bCs/>
      <w:sz w:val="18"/>
      <w:szCs w:val="18"/>
    </w:rPr>
  </w:style>
  <w:style w:type="paragraph" w:customStyle="1" w:styleId="HeaderCAPS">
    <w:name w:val="Header CAPS"/>
    <w:basedOn w:val="NoParagraphStyle"/>
    <w:uiPriority w:val="99"/>
    <w:rsid w:val="00956BF5"/>
    <w:pPr>
      <w:spacing w:before="20"/>
    </w:pPr>
    <w:rPr>
      <w:rFonts w:ascii="Helvetica" w:hAnsi="Helvetica" w:cs="Helvetica"/>
      <w:b/>
      <w:bCs/>
      <w:caps/>
      <w:sz w:val="14"/>
      <w:szCs w:val="14"/>
    </w:rPr>
  </w:style>
  <w:style w:type="paragraph" w:customStyle="1" w:styleId="references">
    <w:name w:val="references"/>
    <w:basedOn w:val="NoParagraphStyle"/>
    <w:uiPriority w:val="99"/>
    <w:rsid w:val="00956BF5"/>
    <w:pPr>
      <w:suppressAutoHyphens/>
      <w:jc w:val="both"/>
    </w:pPr>
    <w:rPr>
      <w:rFonts w:ascii="Helvetica" w:hAnsi="Helvetica" w:cs="Helvetica"/>
      <w:sz w:val="16"/>
      <w:szCs w:val="16"/>
    </w:rPr>
  </w:style>
  <w:style w:type="paragraph" w:customStyle="1" w:styleId="Text">
    <w:name w:val="Text"/>
    <w:basedOn w:val="Normal"/>
    <w:uiPriority w:val="99"/>
    <w:rsid w:val="0032432B"/>
    <w:pPr>
      <w:autoSpaceDE w:val="0"/>
      <w:autoSpaceDN w:val="0"/>
      <w:adjustRightInd w:val="0"/>
      <w:spacing w:line="288" w:lineRule="auto"/>
      <w:jc w:val="both"/>
      <w:textAlignment w:val="center"/>
    </w:pPr>
    <w:rPr>
      <w:rFonts w:ascii="Arial" w:hAnsi="Arial" w:cs="Arial"/>
      <w:color w:val="000000"/>
      <w:spacing w:val="-1"/>
      <w:sz w:val="12"/>
      <w:szCs w:val="12"/>
    </w:rPr>
  </w:style>
  <w:style w:type="character" w:customStyle="1" w:styleId="Highlight">
    <w:name w:val="Highlight"/>
    <w:uiPriority w:val="99"/>
    <w:rsid w:val="0032432B"/>
    <w:rPr>
      <w:rFonts w:ascii="Arial Narrow MT Std" w:hAnsi="Arial Narrow MT Std" w:cs="Arial Narrow MT Std"/>
      <w:position w:val="0"/>
      <w:sz w:val="14"/>
      <w:szCs w:val="14"/>
      <w:u w:val="thick" w:color="000000"/>
    </w:rPr>
  </w:style>
  <w:style w:type="character" w:customStyle="1" w:styleId="Text1">
    <w:name w:val="Text1"/>
    <w:uiPriority w:val="99"/>
    <w:rsid w:val="0032432B"/>
    <w:rPr>
      <w:rFonts w:ascii="Helvetica" w:hAnsi="Helvetica" w:cs="Helvetica"/>
      <w:color w:val="000000"/>
      <w:spacing w:val="0"/>
      <w:w w:val="100"/>
      <w:position w:val="0"/>
      <w:sz w:val="16"/>
      <w:szCs w:val="16"/>
      <w:u w:val="none"/>
      <w:vertAlign w:val="baseline"/>
    </w:rPr>
  </w:style>
  <w:style w:type="paragraph" w:customStyle="1" w:styleId="bodycopy0">
    <w:name w:val="body copy"/>
    <w:basedOn w:val="NoParagraphStyle"/>
    <w:uiPriority w:val="99"/>
    <w:rsid w:val="00410F2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pPr>
    <w:rPr>
      <w:rFonts w:ascii="Helvetica" w:hAnsi="Helvetica" w:cs="Helvetic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3752</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Helena Laboratories</Company>
  <LinksUpToDate>false</LinksUpToDate>
  <CharactersWithSpaces>25095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Henderson</dc:creator>
  <cp:keywords/>
  <dc:description/>
  <cp:lastModifiedBy>Juliana Spencer</cp:lastModifiedBy>
  <cp:revision>7</cp:revision>
  <cp:lastPrinted>2008-03-31T19:26:00Z</cp:lastPrinted>
  <dcterms:created xsi:type="dcterms:W3CDTF">2021-05-04T15:21:00Z</dcterms:created>
  <dcterms:modified xsi:type="dcterms:W3CDTF">2023-06-08T16:17:00Z</dcterms:modified>
</cp:coreProperties>
</file>