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19F0" w14:textId="77777777" w:rsidR="00922F22" w:rsidRPr="00CE1317" w:rsidRDefault="00922F22" w:rsidP="00D9228C">
      <w:pPr>
        <w:rPr>
          <w:rFonts w:ascii="Arial" w:hAnsi="Arial" w:cs="Arial"/>
          <w:i/>
          <w:iCs/>
          <w:sz w:val="22"/>
          <w:szCs w:val="22"/>
        </w:rPr>
      </w:pPr>
      <w:r w:rsidRPr="00CE1317">
        <w:rPr>
          <w:rFonts w:ascii="Arial" w:hAnsi="Arial" w:cs="Arial"/>
          <w:i/>
          <w:iCs/>
          <w:sz w:val="22"/>
          <w:szCs w:val="22"/>
        </w:rPr>
        <w:t>PLEASE READ!!</w:t>
      </w:r>
    </w:p>
    <w:p w14:paraId="4D0CE354" w14:textId="77777777" w:rsidR="00922F22" w:rsidRPr="00CE1317" w:rsidRDefault="00922F22" w:rsidP="00D9228C">
      <w:pPr>
        <w:rPr>
          <w:rFonts w:ascii="Arial" w:hAnsi="Arial" w:cs="Arial"/>
          <w:sz w:val="22"/>
          <w:szCs w:val="22"/>
        </w:rPr>
      </w:pPr>
    </w:p>
    <w:p w14:paraId="0279F0E0"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HELENA LABORATORIES</w:t>
      </w:r>
    </w:p>
    <w:p w14:paraId="1B1A6F4F"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w:t>
      </w:r>
      <w:r w:rsidR="001C146B">
        <w:rPr>
          <w:rFonts w:ascii="Arial" w:hAnsi="Arial" w:cs="Arial"/>
          <w:b/>
          <w:bCs/>
          <w:sz w:val="20"/>
          <w:szCs w:val="20"/>
        </w:rPr>
        <w:t xml:space="preserve"> END USER AGREEMENT</w:t>
      </w:r>
    </w:p>
    <w:p w14:paraId="602CEA70" w14:textId="77777777" w:rsidR="00922F22" w:rsidRPr="00CE1317" w:rsidRDefault="00922F22" w:rsidP="00D9228C">
      <w:pPr>
        <w:rPr>
          <w:rFonts w:ascii="Arial" w:hAnsi="Arial" w:cs="Arial"/>
          <w:sz w:val="20"/>
          <w:szCs w:val="20"/>
        </w:rPr>
      </w:pPr>
    </w:p>
    <w:p w14:paraId="362AB922" w14:textId="77777777" w:rsidR="00922F22" w:rsidRPr="00CE1317" w:rsidRDefault="00922F22" w:rsidP="00D9228C">
      <w:pPr>
        <w:rPr>
          <w:rFonts w:ascii="Arial" w:hAnsi="Arial" w:cs="Arial"/>
          <w:sz w:val="20"/>
          <w:szCs w:val="20"/>
        </w:rPr>
      </w:pPr>
    </w:p>
    <w:p w14:paraId="200D1D27" w14:textId="77777777" w:rsidR="00922F22" w:rsidRPr="00CE1317" w:rsidRDefault="00922F22" w:rsidP="00D9228C">
      <w:pPr>
        <w:rPr>
          <w:rFonts w:ascii="Arial" w:hAnsi="Arial" w:cs="Arial"/>
          <w:sz w:val="20"/>
          <w:szCs w:val="20"/>
        </w:rPr>
      </w:pPr>
      <w:r w:rsidRPr="00CE1317">
        <w:rPr>
          <w:rFonts w:ascii="Arial" w:hAnsi="Arial" w:cs="Arial"/>
          <w:sz w:val="20"/>
          <w:szCs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322425CE" w14:textId="77777777" w:rsidR="00922F22" w:rsidRPr="00CE1317" w:rsidRDefault="00922F22" w:rsidP="00D9228C">
      <w:pPr>
        <w:rPr>
          <w:rFonts w:ascii="Arial" w:hAnsi="Arial" w:cs="Arial"/>
          <w:sz w:val="20"/>
          <w:szCs w:val="20"/>
        </w:rPr>
      </w:pPr>
    </w:p>
    <w:p w14:paraId="2FCB1200" w14:textId="77777777" w:rsidR="00922F22" w:rsidRPr="00CE1317" w:rsidRDefault="00922F22" w:rsidP="00D9228C">
      <w:pPr>
        <w:rPr>
          <w:rFonts w:ascii="Arial" w:hAnsi="Arial" w:cs="Arial"/>
          <w:sz w:val="20"/>
          <w:szCs w:val="20"/>
        </w:rPr>
      </w:pPr>
      <w:r w:rsidRPr="00CE1317">
        <w:rPr>
          <w:rFonts w:ascii="Arial" w:hAnsi="Arial" w:cs="Arial"/>
          <w:sz w:val="20"/>
          <w:szCs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CE1317">
        <w:rPr>
          <w:rFonts w:ascii="Arial" w:hAnsi="Arial" w:cs="Arial"/>
          <w:sz w:val="20"/>
          <w:szCs w:val="20"/>
        </w:rPr>
        <w:t>{ }</w:t>
      </w:r>
      <w:proofErr w:type="gramEnd"/>
      <w:r w:rsidRPr="00CE1317">
        <w:rPr>
          <w:rFonts w:ascii="Arial" w:hAnsi="Arial" w:cs="Arial"/>
          <w:sz w:val="20"/>
          <w:szCs w:val="20"/>
        </w:rPr>
        <w:t>.</w:t>
      </w:r>
    </w:p>
    <w:p w14:paraId="1C7E4C64" w14:textId="77777777" w:rsidR="00922F22" w:rsidRPr="00CE1317" w:rsidRDefault="00922F22" w:rsidP="00D9228C">
      <w:pPr>
        <w:rPr>
          <w:rFonts w:ascii="Arial" w:hAnsi="Arial" w:cs="Arial"/>
          <w:sz w:val="20"/>
          <w:szCs w:val="20"/>
        </w:rPr>
      </w:pPr>
    </w:p>
    <w:p w14:paraId="34454942" w14:textId="77777777" w:rsidR="00922F22" w:rsidRPr="00CE1317" w:rsidRDefault="00922F22" w:rsidP="00D9228C">
      <w:pPr>
        <w:rPr>
          <w:rFonts w:ascii="Arial" w:hAnsi="Arial" w:cs="Arial"/>
          <w:sz w:val="20"/>
          <w:szCs w:val="20"/>
        </w:rPr>
      </w:pPr>
      <w:r w:rsidRPr="00CE1317">
        <w:rPr>
          <w:rFonts w:ascii="Arial" w:hAnsi="Arial" w:cs="Arial"/>
          <w:sz w:val="20"/>
          <w:szCs w:val="20"/>
        </w:rPr>
        <w:t>WHAT YOU NEED TO KNOW:</w:t>
      </w:r>
    </w:p>
    <w:p w14:paraId="611833E7" w14:textId="77777777" w:rsidR="00922F22" w:rsidRPr="00CE1317" w:rsidRDefault="00922F22" w:rsidP="00D9228C">
      <w:pPr>
        <w:rPr>
          <w:rFonts w:ascii="Arial" w:hAnsi="Arial" w:cs="Arial"/>
          <w:sz w:val="20"/>
          <w:szCs w:val="20"/>
        </w:rPr>
      </w:pPr>
    </w:p>
    <w:p w14:paraId="788C1755"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These files represent the most current revisi</w:t>
      </w:r>
      <w:r w:rsidR="00805EDF">
        <w:rPr>
          <w:rFonts w:ascii="Arial" w:hAnsi="Arial" w:cs="Arial"/>
          <w:sz w:val="20"/>
          <w:szCs w:val="20"/>
        </w:rPr>
        <w:t xml:space="preserve">on level to date.  Your current </w:t>
      </w:r>
      <w:r w:rsidRPr="00CE1317">
        <w:rPr>
          <w:rFonts w:ascii="Arial" w:hAnsi="Arial" w:cs="Arial"/>
          <w:sz w:val="20"/>
          <w:szCs w:val="20"/>
        </w:rPr>
        <w:t>product inventory could contain a previous revision level of this procedure.</w:t>
      </w:r>
    </w:p>
    <w:p w14:paraId="3167FFBB" w14:textId="77777777" w:rsidR="00922F22" w:rsidRPr="00CE1317" w:rsidRDefault="00922F22" w:rsidP="00D9228C">
      <w:pPr>
        <w:rPr>
          <w:rFonts w:ascii="Arial" w:hAnsi="Arial" w:cs="Arial"/>
          <w:sz w:val="20"/>
          <w:szCs w:val="20"/>
        </w:rPr>
      </w:pPr>
    </w:p>
    <w:p w14:paraId="7DCA797A"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The Microsoft Word document provides the text only from the master procedure, in a single-column format.</w:t>
      </w:r>
    </w:p>
    <w:p w14:paraId="5BA347A3" w14:textId="77777777" w:rsidR="00922F22" w:rsidRPr="00CE1317" w:rsidRDefault="00922F22" w:rsidP="00D9228C">
      <w:pPr>
        <w:rPr>
          <w:rFonts w:ascii="Arial" w:hAnsi="Arial" w:cs="Arial"/>
          <w:sz w:val="20"/>
          <w:szCs w:val="20"/>
        </w:rPr>
      </w:pPr>
    </w:p>
    <w:p w14:paraId="22001E0B"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It may not contain any illustrations, graphics or captions that may be part of the master procedure included in the kit.</w:t>
      </w:r>
    </w:p>
    <w:p w14:paraId="798D6010" w14:textId="77777777" w:rsidR="00922F22" w:rsidRPr="00CE1317" w:rsidRDefault="00922F22" w:rsidP="00D9228C">
      <w:pPr>
        <w:ind w:left="1350" w:hanging="540"/>
        <w:rPr>
          <w:rFonts w:ascii="Arial" w:hAnsi="Arial" w:cs="Arial"/>
          <w:sz w:val="20"/>
          <w:szCs w:val="20"/>
        </w:rPr>
      </w:pPr>
    </w:p>
    <w:p w14:paraId="3FAB3E5F" w14:textId="77777777" w:rsidR="00922F22" w:rsidRPr="00CE1317" w:rsidRDefault="00CE1317" w:rsidP="00D9228C">
      <w:pPr>
        <w:ind w:left="1350" w:hanging="540"/>
        <w:rPr>
          <w:rFonts w:ascii="Arial" w:hAnsi="Arial" w:cs="Arial"/>
          <w:sz w:val="20"/>
          <w:szCs w:val="20"/>
        </w:rPr>
      </w:pPr>
      <w:r>
        <w:rPr>
          <w:rFonts w:ascii="Arial" w:hAnsi="Arial" w:cs="Arial"/>
          <w:sz w:val="20"/>
          <w:szCs w:val="20"/>
        </w:rPr>
        <w:t>-</w:t>
      </w:r>
      <w:r>
        <w:rPr>
          <w:rFonts w:ascii="Arial" w:hAnsi="Arial" w:cs="Arial"/>
          <w:sz w:val="20"/>
          <w:szCs w:val="20"/>
        </w:rPr>
        <w:tab/>
      </w:r>
      <w:r w:rsidR="00922F22" w:rsidRPr="00CE1317">
        <w:rPr>
          <w:rFonts w:ascii="Arial" w:hAnsi="Arial" w:cs="Arial"/>
          <w:sz w:val="20"/>
          <w:szCs w:val="20"/>
        </w:rPr>
        <w:t>The master procedure may have contained special formatting characters, such as subscripts, superscripts, degree symbols, mean symbols and Greek characters such as alpha, beta, gamma, etc.  These symbols may or may not display properly on your desktop.</w:t>
      </w:r>
    </w:p>
    <w:p w14:paraId="2784A665" w14:textId="77777777" w:rsidR="00922F22" w:rsidRPr="00CE1317" w:rsidRDefault="00922F22" w:rsidP="00D9228C">
      <w:pPr>
        <w:ind w:left="1350" w:hanging="540"/>
        <w:rPr>
          <w:rFonts w:ascii="Arial" w:hAnsi="Arial" w:cs="Arial"/>
          <w:sz w:val="20"/>
          <w:szCs w:val="20"/>
        </w:rPr>
      </w:pPr>
    </w:p>
    <w:p w14:paraId="26F0290A"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The master procedures may also contain columns of tabbed data.  Tab settings may or may not be displayed properly on your desktop.</w:t>
      </w:r>
    </w:p>
    <w:p w14:paraId="66632EE2" w14:textId="77777777" w:rsidR="00922F22" w:rsidRPr="00CE1317" w:rsidRDefault="00922F22" w:rsidP="00D9228C">
      <w:pPr>
        <w:rPr>
          <w:rFonts w:ascii="Arial" w:hAnsi="Arial" w:cs="Arial"/>
          <w:sz w:val="20"/>
          <w:szCs w:val="20"/>
        </w:rPr>
      </w:pPr>
    </w:p>
    <w:p w14:paraId="060A948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The Adobe Acrobat PDF file provides a snapshot of the master procedure in a printable 8.5 x 11” format.  It is provided to serve as a reference for accuracy.</w:t>
      </w:r>
    </w:p>
    <w:p w14:paraId="5EF0E59E" w14:textId="77777777" w:rsidR="00922F22" w:rsidRPr="00CE1317" w:rsidRDefault="00922F22" w:rsidP="00D9228C">
      <w:pPr>
        <w:rPr>
          <w:rFonts w:ascii="Arial" w:hAnsi="Arial" w:cs="Arial"/>
          <w:sz w:val="20"/>
          <w:szCs w:val="20"/>
        </w:rPr>
      </w:pPr>
    </w:p>
    <w:p w14:paraId="5AA5D1C9"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By downloading this procedure, your institution is assuming responsibility for modification and usage.</w:t>
      </w:r>
    </w:p>
    <w:p w14:paraId="266E01BC" w14:textId="77777777" w:rsidR="00922F22" w:rsidRPr="00CE1317" w:rsidRDefault="00922F22" w:rsidP="00D9228C">
      <w:pPr>
        <w:rPr>
          <w:rFonts w:ascii="Arial" w:hAnsi="Arial" w:cs="Arial"/>
          <w:b/>
          <w:bCs/>
          <w:sz w:val="20"/>
          <w:szCs w:val="20"/>
        </w:rPr>
      </w:pPr>
      <w:r w:rsidRPr="00CE1317">
        <w:rPr>
          <w:rFonts w:ascii="Arial" w:hAnsi="Arial" w:cs="Arial"/>
          <w:sz w:val="20"/>
          <w:szCs w:val="20"/>
        </w:rPr>
        <w:br w:type="page"/>
      </w:r>
      <w:r w:rsidRPr="00CE1317">
        <w:rPr>
          <w:rFonts w:ascii="Arial" w:hAnsi="Arial" w:cs="Arial"/>
          <w:b/>
          <w:bCs/>
          <w:sz w:val="20"/>
          <w:szCs w:val="20"/>
        </w:rPr>
        <w:lastRenderedPageBreak/>
        <w:t>HELENA LABORATORIES</w:t>
      </w:r>
    </w:p>
    <w:p w14:paraId="65454A7C"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 END USER AGREEMENT</w:t>
      </w:r>
    </w:p>
    <w:p w14:paraId="2E4751F0" w14:textId="77777777" w:rsidR="00922F22" w:rsidRPr="00CE1317" w:rsidRDefault="00922F22" w:rsidP="00D9228C">
      <w:pPr>
        <w:rPr>
          <w:rFonts w:ascii="Arial" w:hAnsi="Arial" w:cs="Arial"/>
          <w:sz w:val="20"/>
          <w:szCs w:val="20"/>
        </w:rPr>
      </w:pPr>
    </w:p>
    <w:p w14:paraId="011F2455" w14:textId="77777777" w:rsidR="00922F22" w:rsidRPr="00CE1317" w:rsidRDefault="00922F22" w:rsidP="00D9228C">
      <w:pPr>
        <w:rPr>
          <w:rFonts w:ascii="Arial" w:hAnsi="Arial" w:cs="Arial"/>
          <w:sz w:val="20"/>
          <w:szCs w:val="20"/>
        </w:rPr>
      </w:pPr>
    </w:p>
    <w:p w14:paraId="22C17093" w14:textId="77777777" w:rsidR="00922F22" w:rsidRPr="00CE1317" w:rsidRDefault="00922F22" w:rsidP="00D9228C">
      <w:pPr>
        <w:rPr>
          <w:rFonts w:ascii="Arial" w:hAnsi="Arial" w:cs="Arial"/>
          <w:sz w:val="20"/>
          <w:szCs w:val="20"/>
        </w:rPr>
      </w:pPr>
    </w:p>
    <w:p w14:paraId="72088ADF"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 LABELING – Style/Format Outline</w:t>
      </w:r>
    </w:p>
    <w:p w14:paraId="4CC47FB0" w14:textId="77777777" w:rsidR="00922F22" w:rsidRPr="00CE1317" w:rsidRDefault="00922F22" w:rsidP="00D9228C">
      <w:pPr>
        <w:rPr>
          <w:rFonts w:ascii="Arial" w:hAnsi="Arial" w:cs="Arial"/>
          <w:sz w:val="20"/>
          <w:szCs w:val="20"/>
        </w:rPr>
      </w:pPr>
    </w:p>
    <w:p w14:paraId="2963701C" w14:textId="77777777" w:rsidR="00922F22" w:rsidRPr="00CE1317" w:rsidRDefault="00922F22" w:rsidP="00D9228C">
      <w:pPr>
        <w:rPr>
          <w:rFonts w:ascii="Arial" w:hAnsi="Arial" w:cs="Arial"/>
          <w:sz w:val="20"/>
          <w:szCs w:val="20"/>
        </w:rPr>
      </w:pPr>
    </w:p>
    <w:p w14:paraId="66D0AE99" w14:textId="77777777" w:rsidR="00922F22" w:rsidRPr="00CE1317" w:rsidRDefault="00922F22" w:rsidP="00D9228C">
      <w:pPr>
        <w:rPr>
          <w:rFonts w:ascii="Arial" w:hAnsi="Arial" w:cs="Arial"/>
          <w:sz w:val="20"/>
          <w:szCs w:val="20"/>
        </w:rPr>
      </w:pPr>
    </w:p>
    <w:p w14:paraId="6EC707E9" w14:textId="77777777" w:rsidR="00922F22" w:rsidRPr="00CE1317" w:rsidRDefault="00922F22" w:rsidP="00D9228C">
      <w:pPr>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PRODUCT {Test} NAME</w:t>
      </w:r>
    </w:p>
    <w:p w14:paraId="648757CC" w14:textId="77777777" w:rsidR="00922F22" w:rsidRPr="00CE1317" w:rsidRDefault="00922F22" w:rsidP="00D9228C">
      <w:pPr>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INTENDED USE and TEST TYPE (qualitative or qualitative)</w:t>
      </w:r>
    </w:p>
    <w:p w14:paraId="37402B84" w14:textId="77777777" w:rsidR="00922F22" w:rsidRPr="00CE1317" w:rsidRDefault="00922F22" w:rsidP="00D9228C">
      <w:pPr>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SUMMARY AND EXPLANATION</w:t>
      </w:r>
    </w:p>
    <w:p w14:paraId="33D22AD7" w14:textId="77777777" w:rsidR="00922F22" w:rsidRPr="00CE1317" w:rsidRDefault="00922F22" w:rsidP="00D9228C">
      <w:pPr>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PRINCIPLES OF THE PROCEDURE</w:t>
      </w:r>
    </w:p>
    <w:p w14:paraId="20C24350"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SAMPLE COLLECTION/HANDLING next}</w:t>
      </w:r>
    </w:p>
    <w:p w14:paraId="579D194C"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5)</w:t>
      </w:r>
      <w:r w:rsidRPr="00CE1317">
        <w:rPr>
          <w:rFonts w:ascii="Arial" w:hAnsi="Arial" w:cs="Arial"/>
          <w:sz w:val="20"/>
          <w:szCs w:val="20"/>
        </w:rPr>
        <w:tab/>
        <w:t>REAGENTS (name/concentration; warnings/precautions; preparation; storage; environment; Purification/treatment; indications of instability)</w:t>
      </w:r>
    </w:p>
    <w:p w14:paraId="40E04C2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6)</w:t>
      </w:r>
      <w:r w:rsidRPr="00CE1317">
        <w:rPr>
          <w:rFonts w:ascii="Arial" w:hAnsi="Arial" w:cs="Arial"/>
          <w:sz w:val="20"/>
          <w:szCs w:val="20"/>
        </w:rPr>
        <w:tab/>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77D6624F" w14:textId="77777777" w:rsidR="00922F22" w:rsidRPr="00CE1317" w:rsidRDefault="00922F22" w:rsidP="00D9228C">
      <w:pPr>
        <w:rPr>
          <w:rFonts w:ascii="Arial" w:hAnsi="Arial" w:cs="Arial"/>
          <w:sz w:val="20"/>
          <w:szCs w:val="20"/>
        </w:rPr>
      </w:pPr>
      <w:r w:rsidRPr="00CE1317">
        <w:rPr>
          <w:rFonts w:ascii="Arial" w:hAnsi="Arial" w:cs="Arial"/>
          <w:sz w:val="20"/>
          <w:szCs w:val="20"/>
        </w:rPr>
        <w:t>7)</w:t>
      </w:r>
      <w:r w:rsidRPr="00CE1317">
        <w:rPr>
          <w:rFonts w:ascii="Arial" w:hAnsi="Arial" w:cs="Arial"/>
          <w:sz w:val="20"/>
          <w:szCs w:val="20"/>
        </w:rPr>
        <w:tab/>
        <w:t>SAMPLE COLLECTION/HANDLING</w:t>
      </w:r>
    </w:p>
    <w:p w14:paraId="76867159" w14:textId="77777777" w:rsidR="00922F22" w:rsidRPr="00CE1317" w:rsidRDefault="00922F22" w:rsidP="00D9228C">
      <w:pPr>
        <w:rPr>
          <w:rFonts w:ascii="Arial" w:hAnsi="Arial" w:cs="Arial"/>
          <w:sz w:val="20"/>
          <w:szCs w:val="20"/>
        </w:rPr>
      </w:pPr>
      <w:r w:rsidRPr="00CE1317">
        <w:rPr>
          <w:rFonts w:ascii="Arial" w:hAnsi="Arial" w:cs="Arial"/>
          <w:sz w:val="20"/>
          <w:szCs w:val="20"/>
        </w:rPr>
        <w:t>8)</w:t>
      </w:r>
      <w:r w:rsidRPr="00CE1317">
        <w:rPr>
          <w:rFonts w:ascii="Arial" w:hAnsi="Arial" w:cs="Arial"/>
          <w:sz w:val="20"/>
          <w:szCs w:val="20"/>
        </w:rPr>
        <w:tab/>
        <w:t>PROCEDURE</w:t>
      </w:r>
    </w:p>
    <w:p w14:paraId="1EB75EE4"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QUALITY CONTROL (QC) next}</w:t>
      </w:r>
    </w:p>
    <w:p w14:paraId="7BC01888" w14:textId="77777777" w:rsidR="00922F22" w:rsidRPr="00DD6757" w:rsidRDefault="00922F22" w:rsidP="00D9228C">
      <w:pPr>
        <w:rPr>
          <w:rFonts w:ascii="Arial" w:hAnsi="Arial" w:cs="Arial"/>
          <w:sz w:val="20"/>
          <w:szCs w:val="20"/>
          <w:lang w:val="fr-FR"/>
        </w:rPr>
      </w:pPr>
      <w:r w:rsidRPr="00CE1317">
        <w:rPr>
          <w:rFonts w:ascii="Arial" w:hAnsi="Arial" w:cs="Arial"/>
          <w:sz w:val="20"/>
          <w:szCs w:val="20"/>
        </w:rPr>
        <w:t xml:space="preserve"> </w:t>
      </w:r>
      <w:r w:rsidRPr="00DD6757">
        <w:rPr>
          <w:rFonts w:ascii="Arial" w:hAnsi="Arial" w:cs="Arial"/>
          <w:sz w:val="20"/>
          <w:szCs w:val="20"/>
          <w:lang w:val="fr-FR"/>
        </w:rPr>
        <w:t>9)  RESULTS (</w:t>
      </w:r>
      <w:proofErr w:type="spellStart"/>
      <w:r w:rsidRPr="00DD6757">
        <w:rPr>
          <w:rFonts w:ascii="Arial" w:hAnsi="Arial" w:cs="Arial"/>
          <w:sz w:val="20"/>
          <w:szCs w:val="20"/>
          <w:lang w:val="fr-FR"/>
        </w:rPr>
        <w:t>calculations</w:t>
      </w:r>
      <w:proofErr w:type="spellEnd"/>
      <w:r w:rsidRPr="00DD6757">
        <w:rPr>
          <w:rFonts w:ascii="Arial" w:hAnsi="Arial" w:cs="Arial"/>
          <w:sz w:val="20"/>
          <w:szCs w:val="20"/>
          <w:lang w:val="fr-FR"/>
        </w:rPr>
        <w:t xml:space="preserve">, as </w:t>
      </w:r>
      <w:proofErr w:type="gramStart"/>
      <w:r w:rsidRPr="00DD6757">
        <w:rPr>
          <w:rFonts w:ascii="Arial" w:hAnsi="Arial" w:cs="Arial"/>
          <w:sz w:val="20"/>
          <w:szCs w:val="20"/>
          <w:lang w:val="fr-FR"/>
        </w:rPr>
        <w:t>applicable;</w:t>
      </w:r>
      <w:proofErr w:type="gramEnd"/>
      <w:r w:rsidRPr="00DD6757">
        <w:rPr>
          <w:rFonts w:ascii="Arial" w:hAnsi="Arial" w:cs="Arial"/>
          <w:sz w:val="20"/>
          <w:szCs w:val="20"/>
          <w:lang w:val="fr-FR"/>
        </w:rPr>
        <w:t xml:space="preserve"> etc.)</w:t>
      </w:r>
    </w:p>
    <w:p w14:paraId="137A1318" w14:textId="77777777" w:rsidR="00922F22" w:rsidRPr="00CE1317" w:rsidRDefault="00922F22" w:rsidP="00D9228C">
      <w:pPr>
        <w:rPr>
          <w:rFonts w:ascii="Arial" w:hAnsi="Arial" w:cs="Arial"/>
          <w:sz w:val="20"/>
          <w:szCs w:val="20"/>
        </w:rPr>
      </w:pPr>
      <w:r w:rsidRPr="00CE1317">
        <w:rPr>
          <w:rFonts w:ascii="Arial" w:hAnsi="Arial" w:cs="Arial"/>
          <w:sz w:val="20"/>
          <w:szCs w:val="20"/>
        </w:rPr>
        <w:t>10)  LIMITATIONS/NOTES/INTERFERENCES</w:t>
      </w:r>
    </w:p>
    <w:p w14:paraId="4D3B3298" w14:textId="77777777" w:rsidR="00922F22" w:rsidRPr="00CE1317" w:rsidRDefault="00922F22" w:rsidP="00D9228C">
      <w:pPr>
        <w:rPr>
          <w:rFonts w:ascii="Arial" w:hAnsi="Arial" w:cs="Arial"/>
          <w:sz w:val="20"/>
          <w:szCs w:val="20"/>
        </w:rPr>
      </w:pPr>
      <w:r w:rsidRPr="00CE1317">
        <w:rPr>
          <w:rFonts w:ascii="Arial" w:hAnsi="Arial" w:cs="Arial"/>
          <w:sz w:val="20"/>
          <w:szCs w:val="20"/>
        </w:rPr>
        <w:t>11)  EXPECTED VALUES</w:t>
      </w:r>
    </w:p>
    <w:p w14:paraId="7310D7DE" w14:textId="77777777" w:rsidR="00922F22" w:rsidRPr="00CE1317" w:rsidRDefault="00922F22" w:rsidP="00D9228C">
      <w:pPr>
        <w:rPr>
          <w:rFonts w:ascii="Arial" w:hAnsi="Arial" w:cs="Arial"/>
          <w:sz w:val="20"/>
          <w:szCs w:val="20"/>
        </w:rPr>
      </w:pPr>
      <w:r w:rsidRPr="00CE1317">
        <w:rPr>
          <w:rFonts w:ascii="Arial" w:hAnsi="Arial" w:cs="Arial"/>
          <w:sz w:val="20"/>
          <w:szCs w:val="20"/>
        </w:rPr>
        <w:t>12)  PERFORMANCE CHARACTERISTCS</w:t>
      </w:r>
    </w:p>
    <w:p w14:paraId="68365A01" w14:textId="77777777" w:rsidR="00922F22" w:rsidRPr="00CE1317" w:rsidRDefault="00922F22" w:rsidP="00D9228C">
      <w:pPr>
        <w:rPr>
          <w:rFonts w:ascii="Arial" w:hAnsi="Arial" w:cs="Arial"/>
          <w:sz w:val="20"/>
          <w:szCs w:val="20"/>
        </w:rPr>
      </w:pPr>
      <w:r w:rsidRPr="00CE1317">
        <w:rPr>
          <w:rFonts w:ascii="Arial" w:hAnsi="Arial" w:cs="Arial"/>
          <w:sz w:val="20"/>
          <w:szCs w:val="20"/>
        </w:rPr>
        <w:t>13)  BIBLIOGRAPHY (of pertinent references)</w:t>
      </w:r>
    </w:p>
    <w:p w14:paraId="0827CA09" w14:textId="77777777" w:rsidR="00922F22" w:rsidRPr="00CE1317" w:rsidRDefault="00922F22" w:rsidP="00D9228C">
      <w:pPr>
        <w:rPr>
          <w:rFonts w:ascii="Arial" w:hAnsi="Arial" w:cs="Arial"/>
          <w:sz w:val="20"/>
          <w:szCs w:val="20"/>
        </w:rPr>
      </w:pPr>
      <w:r w:rsidRPr="00CE1317">
        <w:rPr>
          <w:rFonts w:ascii="Arial" w:hAnsi="Arial" w:cs="Arial"/>
          <w:sz w:val="20"/>
          <w:szCs w:val="20"/>
        </w:rPr>
        <w:t>14)  NAME AND PLACE OF BUSINESS OF MANUFACTURER</w:t>
      </w:r>
    </w:p>
    <w:p w14:paraId="797E5D6F" w14:textId="77777777" w:rsidR="00922F22" w:rsidRPr="00CE1317" w:rsidRDefault="00922F22" w:rsidP="00D9228C">
      <w:pPr>
        <w:rPr>
          <w:rFonts w:ascii="Arial" w:hAnsi="Arial" w:cs="Arial"/>
          <w:sz w:val="20"/>
          <w:szCs w:val="20"/>
        </w:rPr>
      </w:pPr>
      <w:r w:rsidRPr="00CE1317">
        <w:rPr>
          <w:rFonts w:ascii="Arial" w:hAnsi="Arial" w:cs="Arial"/>
          <w:sz w:val="20"/>
          <w:szCs w:val="20"/>
        </w:rPr>
        <w:t>15)  DATE OF ISSUANCE OF LABELING (instructions)</w:t>
      </w:r>
    </w:p>
    <w:p w14:paraId="7FD364EE" w14:textId="77777777" w:rsidR="00922F22" w:rsidRPr="00CE1317" w:rsidRDefault="00922F22" w:rsidP="00D9228C">
      <w:pPr>
        <w:rPr>
          <w:rFonts w:ascii="Arial" w:hAnsi="Arial" w:cs="Arial"/>
          <w:sz w:val="20"/>
          <w:szCs w:val="20"/>
        </w:rPr>
      </w:pPr>
    </w:p>
    <w:p w14:paraId="6BD3F72B" w14:textId="77777777" w:rsidR="00922F22" w:rsidRPr="00CE1317" w:rsidRDefault="00922F22" w:rsidP="003F67C4">
      <w:pPr>
        <w:jc w:val="center"/>
        <w:rPr>
          <w:rFonts w:ascii="Arial" w:hAnsi="Arial" w:cs="Arial"/>
          <w:sz w:val="20"/>
          <w:szCs w:val="20"/>
        </w:rPr>
      </w:pPr>
      <w:r w:rsidRPr="00CE1317">
        <w:rPr>
          <w:rFonts w:ascii="Arial" w:hAnsi="Arial" w:cs="Arial"/>
          <w:sz w:val="20"/>
          <w:szCs w:val="20"/>
        </w:rPr>
        <w:t xml:space="preserve">For Sales, Technical and Order Information, and Service Assistance, </w:t>
      </w:r>
      <w:r w:rsidR="00CE1317">
        <w:rPr>
          <w:rFonts w:ascii="MS Mincho" w:eastAsia="MS Mincho" w:hAnsi="MS Mincho" w:cs="MS Mincho"/>
          <w:sz w:val="20"/>
          <w:szCs w:val="20"/>
        </w:rPr>
        <w:br/>
      </w:r>
      <w:r w:rsidRPr="00CE1317">
        <w:rPr>
          <w:rFonts w:ascii="Arial" w:hAnsi="Arial" w:cs="Arial"/>
          <w:sz w:val="20"/>
          <w:szCs w:val="20"/>
        </w:rPr>
        <w:t>call Helena Laboratories toll free at 1-800-231-5663.</w:t>
      </w:r>
    </w:p>
    <w:p w14:paraId="3DBE1E70" w14:textId="77777777" w:rsidR="00922F22" w:rsidRPr="00CE1317" w:rsidRDefault="00922F22" w:rsidP="00D9228C">
      <w:pPr>
        <w:rPr>
          <w:rFonts w:ascii="Arial" w:hAnsi="Arial" w:cs="Arial"/>
          <w:sz w:val="20"/>
          <w:szCs w:val="20"/>
        </w:rPr>
      </w:pPr>
    </w:p>
    <w:p w14:paraId="41A2853B" w14:textId="77777777" w:rsidR="00922F22" w:rsidRPr="00CE1317" w:rsidRDefault="00922F22" w:rsidP="00D9228C">
      <w:pPr>
        <w:rPr>
          <w:rFonts w:ascii="Arial" w:hAnsi="Arial" w:cs="Arial"/>
          <w:sz w:val="20"/>
          <w:szCs w:val="20"/>
        </w:rPr>
      </w:pPr>
    </w:p>
    <w:p w14:paraId="12DDFA69" w14:textId="77777777" w:rsidR="00922F22" w:rsidRPr="00CE1317" w:rsidRDefault="00922F22" w:rsidP="00D9228C">
      <w:pPr>
        <w:rPr>
          <w:rFonts w:ascii="Arial" w:hAnsi="Arial" w:cs="Arial"/>
          <w:sz w:val="20"/>
          <w:szCs w:val="20"/>
        </w:rPr>
      </w:pPr>
    </w:p>
    <w:p w14:paraId="68DC36AE" w14:textId="77777777" w:rsidR="00922F22" w:rsidRPr="00CE1317" w:rsidRDefault="00922F22" w:rsidP="00D9228C">
      <w:pPr>
        <w:rPr>
          <w:rFonts w:ascii="Arial" w:hAnsi="Arial" w:cs="Arial"/>
          <w:sz w:val="20"/>
          <w:szCs w:val="20"/>
        </w:rPr>
      </w:pPr>
      <w:r w:rsidRPr="00CE1317">
        <w:rPr>
          <w:rFonts w:ascii="Arial" w:hAnsi="Arial" w:cs="Arial"/>
          <w:sz w:val="20"/>
          <w:szCs w:val="20"/>
        </w:rPr>
        <w:t>Form 364</w:t>
      </w:r>
    </w:p>
    <w:p w14:paraId="632A9550"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w:t>
      </w:r>
    </w:p>
    <w:p w14:paraId="73AF11AD" w14:textId="77777777" w:rsidR="00922F22" w:rsidRPr="00C522C5" w:rsidRDefault="00922F22" w:rsidP="00D9228C">
      <w:pPr>
        <w:rPr>
          <w:rFonts w:ascii="Arial" w:hAnsi="Arial" w:cs="Arial"/>
        </w:rPr>
      </w:pPr>
      <w:r w:rsidRPr="00CE1317">
        <w:rPr>
          <w:rFonts w:ascii="Arial" w:hAnsi="Arial" w:cs="Arial"/>
          <w:sz w:val="20"/>
          <w:szCs w:val="20"/>
        </w:rPr>
        <w:t>1/2006 (Rev 3)</w:t>
      </w:r>
    </w:p>
    <w:p w14:paraId="1E45FE1B" w14:textId="77777777" w:rsidR="00DF393A" w:rsidRPr="00C522C5" w:rsidRDefault="00DF393A" w:rsidP="00D9228C">
      <w:pPr>
        <w:rPr>
          <w:rFonts w:ascii="Arial" w:hAnsi="Arial" w:cs="Arial"/>
        </w:rPr>
      </w:pPr>
    </w:p>
    <w:p w14:paraId="7E3206C8" w14:textId="77777777" w:rsidR="00DF393A" w:rsidRPr="00C522C5" w:rsidRDefault="00DF393A" w:rsidP="00D9228C">
      <w:pPr>
        <w:rPr>
          <w:rFonts w:ascii="Arial" w:hAnsi="Arial" w:cs="Arial"/>
        </w:rPr>
      </w:pPr>
    </w:p>
    <w:p w14:paraId="603B109A" w14:textId="77777777" w:rsidR="00DF393A" w:rsidRPr="00C522C5" w:rsidRDefault="00DF393A" w:rsidP="00D9228C">
      <w:pPr>
        <w:rPr>
          <w:rFonts w:ascii="Arial" w:hAnsi="Arial" w:cs="Arial"/>
        </w:rPr>
      </w:pPr>
    </w:p>
    <w:p w14:paraId="54F8DE27" w14:textId="77777777" w:rsidR="00DF393A" w:rsidRPr="00C522C5" w:rsidRDefault="00DF393A" w:rsidP="00D9228C">
      <w:pPr>
        <w:rPr>
          <w:rFonts w:ascii="Arial" w:hAnsi="Arial" w:cs="Arial"/>
        </w:rPr>
      </w:pPr>
    </w:p>
    <w:p w14:paraId="6A6F61D2" w14:textId="77777777" w:rsidR="00DF393A" w:rsidRPr="00C522C5" w:rsidRDefault="00DF393A" w:rsidP="00D9228C">
      <w:pPr>
        <w:rPr>
          <w:rFonts w:ascii="Arial" w:hAnsi="Arial" w:cs="Arial"/>
        </w:rPr>
      </w:pPr>
    </w:p>
    <w:p w14:paraId="4E08A575" w14:textId="77777777" w:rsidR="00CE1317" w:rsidRDefault="00DF393A" w:rsidP="00D9228C">
      <w:pPr>
        <w:pStyle w:val="ProTitle"/>
        <w:jc w:val="left"/>
        <w:rPr>
          <w:rFonts w:ascii="Arial" w:hAnsi="Arial" w:cs="Arial"/>
        </w:rPr>
      </w:pP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p>
    <w:p w14:paraId="3CC0501F" w14:textId="77777777" w:rsidR="00CE1317" w:rsidRDefault="00CE1317" w:rsidP="00D9228C">
      <w:pPr>
        <w:pStyle w:val="ProTitle"/>
        <w:jc w:val="left"/>
        <w:rPr>
          <w:rFonts w:ascii="Arial" w:hAnsi="Arial" w:cs="Arial"/>
        </w:rPr>
      </w:pPr>
    </w:p>
    <w:p w14:paraId="38CE8E34" w14:textId="77777777" w:rsidR="00CE1317" w:rsidRDefault="00CE1317" w:rsidP="00D9228C">
      <w:pPr>
        <w:pStyle w:val="ProTitle"/>
        <w:jc w:val="left"/>
        <w:rPr>
          <w:rFonts w:ascii="Arial" w:hAnsi="Arial" w:cs="Arial"/>
        </w:rPr>
      </w:pPr>
    </w:p>
    <w:p w14:paraId="67322BAB" w14:textId="77777777" w:rsidR="00CE1317" w:rsidRDefault="00CE1317" w:rsidP="00D9228C">
      <w:pPr>
        <w:pStyle w:val="ProTitle"/>
        <w:jc w:val="left"/>
        <w:rPr>
          <w:rFonts w:ascii="Arial" w:hAnsi="Arial" w:cs="Arial"/>
        </w:rPr>
      </w:pPr>
    </w:p>
    <w:p w14:paraId="0AC2239A" w14:textId="77777777" w:rsidR="00CE1317" w:rsidRDefault="00CE1317" w:rsidP="00D9228C">
      <w:pPr>
        <w:pStyle w:val="ProTitle"/>
        <w:jc w:val="left"/>
        <w:rPr>
          <w:rFonts w:ascii="Arial" w:hAnsi="Arial" w:cs="Arial"/>
        </w:rPr>
      </w:pPr>
    </w:p>
    <w:p w14:paraId="54DC94AC" w14:textId="77777777" w:rsidR="006B16D4" w:rsidRDefault="006B16D4" w:rsidP="00D9228C">
      <w:pPr>
        <w:pStyle w:val="ProTitle"/>
        <w:jc w:val="left"/>
        <w:rPr>
          <w:rFonts w:ascii="Arial" w:hAnsi="Arial" w:cs="Arial"/>
        </w:rPr>
      </w:pPr>
    </w:p>
    <w:p w14:paraId="2D40807F" w14:textId="77777777" w:rsidR="006B16D4" w:rsidRDefault="006B16D4" w:rsidP="00D9228C">
      <w:pPr>
        <w:pStyle w:val="ProTitle"/>
        <w:jc w:val="left"/>
        <w:rPr>
          <w:rFonts w:ascii="Arial" w:hAnsi="Arial" w:cs="Arial"/>
        </w:rPr>
      </w:pPr>
    </w:p>
    <w:p w14:paraId="1E8E6533" w14:textId="77777777" w:rsidR="006B16D4" w:rsidRDefault="006B16D4" w:rsidP="00D9228C">
      <w:pPr>
        <w:pStyle w:val="ProTitle"/>
        <w:jc w:val="left"/>
        <w:rPr>
          <w:rFonts w:ascii="Arial" w:hAnsi="Arial" w:cs="Arial"/>
        </w:rPr>
      </w:pPr>
    </w:p>
    <w:p w14:paraId="36CA6144" w14:textId="77777777" w:rsidR="00F61CF2" w:rsidRPr="00F61CF2" w:rsidRDefault="00F61CF2" w:rsidP="00F61CF2">
      <w:pPr>
        <w:tabs>
          <w:tab w:val="left" w:pos="240"/>
          <w:tab w:val="left" w:pos="480"/>
          <w:tab w:val="left" w:pos="720"/>
        </w:tabs>
        <w:autoSpaceDE w:val="0"/>
        <w:autoSpaceDN w:val="0"/>
        <w:adjustRightInd w:val="0"/>
        <w:spacing w:line="288" w:lineRule="auto"/>
        <w:jc w:val="right"/>
        <w:textAlignment w:val="center"/>
        <w:rPr>
          <w:rFonts w:ascii="Arial Narrow MT Std" w:hAnsi="Arial Narrow MT Std" w:cs="Arial Narrow MT Std"/>
          <w:b/>
          <w:bCs/>
          <w:color w:val="000000"/>
          <w:sz w:val="36"/>
          <w:szCs w:val="36"/>
        </w:rPr>
      </w:pPr>
      <w:r w:rsidRPr="00F61CF2">
        <w:rPr>
          <w:rFonts w:ascii="Arial Narrow MT Std" w:hAnsi="Arial Narrow MT Std" w:cs="Arial Narrow MT Std"/>
          <w:b/>
          <w:bCs/>
          <w:color w:val="000000"/>
          <w:sz w:val="36"/>
          <w:szCs w:val="36"/>
        </w:rPr>
        <w:lastRenderedPageBreak/>
        <w:t>SPIFE</w:t>
      </w:r>
      <w:r w:rsidRPr="00F61CF2">
        <w:rPr>
          <w:rFonts w:ascii="Arial Narrow MT Std" w:hAnsi="Arial Narrow MT Std" w:cs="Arial Narrow MT Std"/>
          <w:b/>
          <w:bCs/>
          <w:color w:val="000000"/>
          <w:position w:val="14"/>
          <w:sz w:val="16"/>
          <w:szCs w:val="16"/>
        </w:rPr>
        <w:t>®</w:t>
      </w:r>
      <w:r w:rsidRPr="00F61CF2">
        <w:rPr>
          <w:rFonts w:ascii="Arial Narrow MT Std" w:hAnsi="Arial Narrow MT Std" w:cs="Arial Narrow MT Std"/>
          <w:b/>
          <w:bCs/>
          <w:color w:val="000000"/>
          <w:sz w:val="36"/>
          <w:szCs w:val="36"/>
        </w:rPr>
        <w:t xml:space="preserve"> Nexus</w:t>
      </w:r>
    </w:p>
    <w:p w14:paraId="7AB785E1" w14:textId="412C95BC" w:rsidR="00816759" w:rsidRDefault="00F61CF2" w:rsidP="00F61CF2">
      <w:pPr>
        <w:jc w:val="right"/>
        <w:rPr>
          <w:rFonts w:ascii="Arial MT Std" w:hAnsi="Arial MT Std" w:cs="Arial MT Std"/>
          <w:b/>
          <w:bCs/>
          <w:color w:val="000000"/>
          <w:sz w:val="36"/>
          <w:szCs w:val="36"/>
        </w:rPr>
      </w:pPr>
      <w:r w:rsidRPr="00F61CF2">
        <w:rPr>
          <w:rFonts w:ascii="Arial Narrow MT Std" w:hAnsi="Arial Narrow MT Std" w:cs="Arial Narrow MT Std"/>
          <w:b/>
          <w:bCs/>
          <w:color w:val="000000"/>
          <w:sz w:val="36"/>
          <w:szCs w:val="36"/>
        </w:rPr>
        <w:t>ImmunoFix-</w:t>
      </w:r>
      <w:r w:rsidR="00E83ED7">
        <w:rPr>
          <w:rFonts w:ascii="Arial Narrow MT Std" w:hAnsi="Arial Narrow MT Std" w:cs="Arial Narrow MT Std"/>
          <w:b/>
          <w:bCs/>
          <w:color w:val="000000"/>
          <w:sz w:val="36"/>
          <w:szCs w:val="36"/>
        </w:rPr>
        <w:t>9</w:t>
      </w:r>
      <w:r w:rsidRPr="00F61CF2">
        <w:rPr>
          <w:rFonts w:ascii="Arial Narrow MT Std" w:hAnsi="Arial Narrow MT Std" w:cs="Arial Narrow MT Std"/>
          <w:b/>
          <w:bCs/>
          <w:color w:val="000000"/>
          <w:sz w:val="36"/>
          <w:szCs w:val="36"/>
        </w:rPr>
        <w:t xml:space="preserve"> Procedure</w:t>
      </w:r>
    </w:p>
    <w:p w14:paraId="64ACE933" w14:textId="27868D55" w:rsidR="00816759" w:rsidRPr="00816759" w:rsidRDefault="006B16D4" w:rsidP="00816759">
      <w:pPr>
        <w:rPr>
          <w:rFonts w:ascii="Arial MT Std" w:hAnsi="Arial MT Std" w:cs="Arial MT Std"/>
          <w:b/>
          <w:bCs/>
          <w:color w:val="000000"/>
          <w:sz w:val="20"/>
          <w:szCs w:val="20"/>
        </w:rPr>
      </w:pPr>
      <w:r w:rsidRPr="002C1351">
        <w:rPr>
          <w:rFonts w:ascii="Arial" w:hAnsi="Arial" w:cs="Arial"/>
          <w:b/>
          <w:bCs/>
          <w:noProof/>
          <w:sz w:val="20"/>
          <w:szCs w:val="20"/>
        </w:rPr>
        <w:drawing>
          <wp:anchor distT="0" distB="0" distL="114300" distR="114300" simplePos="0" relativeHeight="251661312" behindDoc="1" locked="0" layoutInCell="1" allowOverlap="1" wp14:anchorId="189C82E4" wp14:editId="47562DBC">
            <wp:simplePos x="0" y="0"/>
            <wp:positionH relativeFrom="column">
              <wp:posOffset>45720</wp:posOffset>
            </wp:positionH>
            <wp:positionV relativeFrom="paragraph">
              <wp:posOffset>257175</wp:posOffset>
            </wp:positionV>
            <wp:extent cx="6400800" cy="112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351">
        <w:rPr>
          <w:rFonts w:ascii="Arial" w:hAnsi="Arial" w:cs="Arial"/>
          <w:b/>
          <w:bCs/>
          <w:sz w:val="20"/>
          <w:szCs w:val="20"/>
        </w:rPr>
        <w:t>Cat. No.</w:t>
      </w:r>
      <w:r w:rsidRPr="00816759">
        <w:rPr>
          <w:rFonts w:ascii="Arial" w:hAnsi="Arial" w:cs="Arial"/>
          <w:sz w:val="20"/>
          <w:szCs w:val="20"/>
        </w:rPr>
        <w:t xml:space="preserve"> </w:t>
      </w:r>
      <w:r w:rsidR="00F61CF2">
        <w:rPr>
          <w:rFonts w:ascii="Arial MT Std" w:hAnsi="Arial MT Std" w:cs="Arial MT Std"/>
          <w:b/>
          <w:bCs/>
          <w:color w:val="000000"/>
          <w:sz w:val="20"/>
          <w:szCs w:val="20"/>
        </w:rPr>
        <w:t>240</w:t>
      </w:r>
      <w:r w:rsidR="00E83ED7">
        <w:rPr>
          <w:rFonts w:ascii="Arial MT Std" w:hAnsi="Arial MT Std" w:cs="Arial MT Std"/>
          <w:b/>
          <w:bCs/>
          <w:color w:val="000000"/>
          <w:sz w:val="20"/>
          <w:szCs w:val="20"/>
        </w:rPr>
        <w:t>9</w:t>
      </w:r>
    </w:p>
    <w:p w14:paraId="325FEE34" w14:textId="587B31E7" w:rsidR="00000000" w:rsidRPr="00C522C5" w:rsidRDefault="00000000" w:rsidP="00320BEC">
      <w:pPr>
        <w:pStyle w:val="Header"/>
        <w:ind w:right="-450"/>
        <w:jc w:val="left"/>
        <w:rPr>
          <w:rFonts w:ascii="Arial" w:hAnsi="Arial" w:cs="Arial"/>
        </w:rPr>
      </w:pPr>
    </w:p>
    <w:p w14:paraId="25420EBE" w14:textId="77777777" w:rsidR="006B16D4" w:rsidRDefault="006B16D4" w:rsidP="00D9228C">
      <w:pPr>
        <w:pStyle w:val="Header"/>
        <w:jc w:val="left"/>
        <w:rPr>
          <w:rFonts w:ascii="Arial" w:hAnsi="Arial" w:cs="Arial"/>
        </w:rPr>
      </w:pPr>
    </w:p>
    <w:p w14:paraId="485F1CF3"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 xml:space="preserve">INTENDED USE </w:t>
      </w:r>
    </w:p>
    <w:p w14:paraId="03E67AE9"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The SPIFE Nexus </w:t>
      </w:r>
      <w:proofErr w:type="spellStart"/>
      <w:r w:rsidRPr="002C1351">
        <w:rPr>
          <w:rFonts w:ascii="Arial" w:hAnsi="Arial" w:cs="Arial"/>
          <w:color w:val="000000"/>
          <w:sz w:val="20"/>
          <w:szCs w:val="20"/>
        </w:rPr>
        <w:t>ImmunoFix</w:t>
      </w:r>
      <w:proofErr w:type="spellEnd"/>
      <w:r w:rsidRPr="002C1351">
        <w:rPr>
          <w:rFonts w:ascii="Arial" w:hAnsi="Arial" w:cs="Arial"/>
          <w:color w:val="000000"/>
          <w:sz w:val="20"/>
          <w:szCs w:val="20"/>
        </w:rPr>
        <w:t xml:space="preserve"> method is a fully automated solution intended for the qualitative identification of monoclonal gammopathies in serum and urine using protein electrophoresis and immunofixation on the SPIFE Nexus system.</w:t>
      </w:r>
    </w:p>
    <w:p w14:paraId="3C05EDF3"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For </w:t>
      </w:r>
      <w:r w:rsidRPr="002C1351">
        <w:rPr>
          <w:rFonts w:ascii="Arial" w:hAnsi="Arial" w:cs="Arial"/>
          <w:i/>
          <w:iCs/>
          <w:color w:val="000000"/>
          <w:sz w:val="20"/>
          <w:szCs w:val="20"/>
        </w:rPr>
        <w:t>In Vitro</w:t>
      </w:r>
      <w:r w:rsidRPr="002C1351">
        <w:rPr>
          <w:rFonts w:ascii="Arial" w:hAnsi="Arial" w:cs="Arial"/>
          <w:color w:val="000000"/>
          <w:sz w:val="20"/>
          <w:szCs w:val="20"/>
        </w:rPr>
        <w:t xml:space="preserve"> Diagnostic Use.</w:t>
      </w:r>
    </w:p>
    <w:p w14:paraId="4A864AAF"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RX Only</w:t>
      </w:r>
    </w:p>
    <w:p w14:paraId="1CEBF963"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SUMMARY</w:t>
      </w:r>
    </w:p>
    <w:p w14:paraId="23CB0E54"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pacing w:val="-2"/>
          <w:sz w:val="20"/>
          <w:szCs w:val="20"/>
        </w:rPr>
        <w:t>Immunofixation electrophoresis (IFE) has been used for the study of immunoglobulins since 1976.</w:t>
      </w:r>
      <w:r w:rsidRPr="002C1351">
        <w:rPr>
          <w:rFonts w:ascii="Arial" w:hAnsi="Arial" w:cs="Arial"/>
          <w:color w:val="000000"/>
          <w:spacing w:val="-2"/>
          <w:sz w:val="20"/>
          <w:szCs w:val="20"/>
          <w:vertAlign w:val="superscript"/>
        </w:rPr>
        <w:t>1,2</w:t>
      </w:r>
      <w:r w:rsidRPr="002C1351">
        <w:rPr>
          <w:rFonts w:ascii="Arial" w:hAnsi="Arial" w:cs="Arial"/>
          <w:color w:val="000000"/>
          <w:spacing w:val="-2"/>
          <w:sz w:val="20"/>
          <w:szCs w:val="20"/>
        </w:rPr>
        <w:t xml:space="preserve"> It is a two-stage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immunoglobulin of a single class and type. Such immunoglobulins are referred to as monoclonal proteins, M-proteins or paraproteins. Their presence may be of a benign nature or of uncertain significance. In some cases, they are indicative of a malignancy such as multiple myeloma or </w:t>
      </w:r>
      <w:proofErr w:type="spellStart"/>
      <w:r w:rsidRPr="002C1351">
        <w:rPr>
          <w:rFonts w:ascii="Arial" w:hAnsi="Arial" w:cs="Arial"/>
          <w:color w:val="000000"/>
          <w:spacing w:val="-2"/>
          <w:sz w:val="20"/>
          <w:szCs w:val="20"/>
        </w:rPr>
        <w:t>Waldenstrom's</w:t>
      </w:r>
      <w:proofErr w:type="spellEnd"/>
      <w:r w:rsidRPr="002C1351">
        <w:rPr>
          <w:rFonts w:ascii="Arial" w:hAnsi="Arial" w:cs="Arial"/>
          <w:color w:val="000000"/>
          <w:spacing w:val="-2"/>
          <w:sz w:val="20"/>
          <w:szCs w:val="20"/>
        </w:rPr>
        <w:t xml:space="preserve">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 The SPIFE Nexus IFE method offers many advantages including hands-free operation, ease of interpretation, excellent resolution, reagent conservation and rapid turnaround.</w:t>
      </w:r>
    </w:p>
    <w:p w14:paraId="3FF16B4E"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PRINCIPLE</w:t>
      </w:r>
    </w:p>
    <w:p w14:paraId="2BAE716B"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strike/>
          <w:color w:val="000000"/>
          <w:sz w:val="20"/>
          <w:szCs w:val="20"/>
        </w:rPr>
      </w:pPr>
      <w:r w:rsidRPr="002C1351">
        <w:rPr>
          <w:rFonts w:ascii="Arial" w:hAnsi="Arial" w:cs="Arial"/>
          <w:color w:val="000000"/>
          <w:sz w:val="20"/>
          <w:szCs w:val="20"/>
        </w:rPr>
        <w:t xml:space="preserve">Proteins are first resolved by electrophoresis. In the second stage, the soluble antigen and antibody are allowed to react. The resultant antigen-antibody complex(es)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14:paraId="5E41E6CB"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strike/>
          <w:color w:val="000000"/>
          <w:sz w:val="20"/>
          <w:szCs w:val="20"/>
        </w:rPr>
      </w:pPr>
      <w:r w:rsidRPr="002C1351">
        <w:rPr>
          <w:rFonts w:ascii="Arial" w:hAnsi="Arial" w:cs="Arial"/>
          <w:b/>
          <w:bCs/>
          <w:color w:val="000000"/>
          <w:sz w:val="20"/>
          <w:szCs w:val="20"/>
        </w:rPr>
        <w:t>REAGENTS</w:t>
      </w:r>
    </w:p>
    <w:p w14:paraId="4345D207" w14:textId="24B72321"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 xml:space="preserve">1. SPIFE IFE-9 Gel </w:t>
      </w:r>
      <w:r w:rsidRPr="002C1351">
        <w:rPr>
          <w:rFonts w:ascii="Arial" w:hAnsi="Arial" w:cs="Arial"/>
          <w:b/>
          <w:bCs/>
          <w:color w:val="000000"/>
          <w:sz w:val="20"/>
          <w:szCs w:val="20"/>
        </w:rPr>
        <w:tab/>
      </w:r>
      <w:r w:rsidRPr="002C1351">
        <w:rPr>
          <w:rFonts w:ascii="Arial" w:hAnsi="Arial" w:cs="Arial"/>
          <w:b/>
          <w:bCs/>
          <w:color w:val="000000"/>
          <w:sz w:val="20"/>
          <w:szCs w:val="20"/>
        </w:rPr>
        <w:br/>
        <w:t>Ingredients:</w:t>
      </w:r>
      <w:r w:rsidRPr="002C1351">
        <w:rPr>
          <w:rFonts w:ascii="Arial" w:hAnsi="Arial" w:cs="Arial"/>
          <w:color w:val="000000"/>
          <w:sz w:val="20"/>
          <w:szCs w:val="20"/>
        </w:rPr>
        <w:t xml:space="preserve"> Each gel contains agarose in tris-barbital/MOPS buffer with a stabilizer and a preservative.</w:t>
      </w:r>
      <w:r w:rsidRPr="002C1351">
        <w:rPr>
          <w:rFonts w:ascii="Arial" w:hAnsi="Arial" w:cs="Arial"/>
          <w:b/>
          <w:bCs/>
          <w:color w:val="000000"/>
          <w:sz w:val="20"/>
          <w:szCs w:val="20"/>
        </w:rPr>
        <w:tab/>
      </w:r>
      <w:r w:rsidRPr="002C1351">
        <w:rPr>
          <w:rFonts w:ascii="Arial" w:hAnsi="Arial" w:cs="Arial"/>
          <w:b/>
          <w:bCs/>
          <w:color w:val="000000"/>
          <w:sz w:val="20"/>
          <w:szCs w:val="20"/>
        </w:rPr>
        <w:br/>
        <w:t>WARNING: FOR IN-VITRO DIAGNOSTIC USE ONLY. CAUTION: DO NOT INGEST.</w:t>
      </w:r>
      <w:r w:rsidRPr="002C1351">
        <w:rPr>
          <w:rFonts w:ascii="Arial" w:hAnsi="Arial" w:cs="Arial"/>
          <w:color w:val="000000"/>
          <w:sz w:val="20"/>
          <w:szCs w:val="20"/>
        </w:rPr>
        <w:t xml:space="preserve"> The gel contains barbital which, in sufficient quantity, can be toxic. </w:t>
      </w:r>
    </w:p>
    <w:p w14:paraId="4DEFFEA3" w14:textId="2777B6C2"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 xml:space="preserve">Preparation for Use: </w:t>
      </w:r>
      <w:r w:rsidRPr="002C1351">
        <w:rPr>
          <w:rFonts w:ascii="Arial" w:hAnsi="Arial" w:cs="Arial"/>
          <w:color w:val="000000"/>
          <w:sz w:val="20"/>
          <w:szCs w:val="20"/>
        </w:rPr>
        <w:t>The gels are ready for use as packaged.</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 xml:space="preserve">Storage and Stability: </w:t>
      </w:r>
      <w:r w:rsidRPr="002C1351">
        <w:rPr>
          <w:rFonts w:ascii="Arial" w:hAnsi="Arial" w:cs="Arial"/>
          <w:color w:val="000000"/>
          <w:sz w:val="20"/>
          <w:szCs w:val="20"/>
        </w:rPr>
        <w:t xml:space="preserve">The gels should be stored horizontally at room temperature (15 to 30°C) and are stable until the expiration date indicated on the package. The gels must be stored in the protective packaging in which they are shipped. </w:t>
      </w:r>
      <w:r w:rsidRPr="002C1351">
        <w:rPr>
          <w:rFonts w:ascii="Arial" w:hAnsi="Arial" w:cs="Arial"/>
          <w:b/>
          <w:bCs/>
          <w:color w:val="000000"/>
          <w:sz w:val="20"/>
          <w:szCs w:val="20"/>
        </w:rPr>
        <w:t>DO NOT REFRIGERATE OR FREEZE.</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Signs of Deterioration:</w:t>
      </w:r>
      <w:r w:rsidRPr="002C1351">
        <w:rPr>
          <w:rFonts w:ascii="Arial" w:hAnsi="Arial" w:cs="Arial"/>
          <w:color w:val="000000"/>
          <w:sz w:val="20"/>
          <w:szCs w:val="20"/>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4ACA63F8" w14:textId="663FF0AC"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2.</w:t>
      </w:r>
      <w:r>
        <w:rPr>
          <w:rFonts w:ascii="Arial" w:hAnsi="Arial" w:cs="Arial"/>
          <w:b/>
          <w:bCs/>
          <w:color w:val="000000"/>
          <w:sz w:val="20"/>
          <w:szCs w:val="20"/>
        </w:rPr>
        <w:t xml:space="preserve"> </w:t>
      </w:r>
      <w:r w:rsidRPr="002C1351">
        <w:rPr>
          <w:rFonts w:ascii="Arial" w:hAnsi="Arial" w:cs="Arial"/>
          <w:b/>
          <w:bCs/>
          <w:color w:val="000000"/>
          <w:sz w:val="20"/>
          <w:szCs w:val="20"/>
        </w:rPr>
        <w:t>SPIFE Nexus Violet</w:t>
      </w:r>
      <w:r w:rsidRPr="002C1351">
        <w:rPr>
          <w:rFonts w:ascii="Arial" w:hAnsi="Arial" w:cs="Arial"/>
          <w:b/>
          <w:bCs/>
          <w:color w:val="000000"/>
          <w:sz w:val="20"/>
          <w:szCs w:val="20"/>
        </w:rPr>
        <w:tab/>
      </w:r>
      <w:r w:rsidRPr="002C1351">
        <w:rPr>
          <w:rFonts w:ascii="Arial" w:hAnsi="Arial" w:cs="Arial"/>
          <w:b/>
          <w:bCs/>
          <w:color w:val="000000"/>
          <w:sz w:val="20"/>
          <w:szCs w:val="20"/>
        </w:rPr>
        <w:br/>
        <w:t xml:space="preserve">Ingredients: </w:t>
      </w:r>
      <w:r w:rsidRPr="002C1351">
        <w:rPr>
          <w:rFonts w:ascii="Arial" w:hAnsi="Arial" w:cs="Arial"/>
          <w:color w:val="000000"/>
          <w:sz w:val="20"/>
          <w:szCs w:val="20"/>
        </w:rPr>
        <w:t xml:space="preserve">The stain is comprised of 0.2% (w/v) acid violet stain and 10% acetic acid. </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WARNING: FOR IN-VITRO DIAGNOSTIC USE ONLY. DO NOT INGEST.</w:t>
      </w:r>
    </w:p>
    <w:p w14:paraId="5169FEC1" w14:textId="3E00EFF2"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 xml:space="preserve">Preparation for Use: </w:t>
      </w:r>
      <w:r w:rsidRPr="002C1351">
        <w:rPr>
          <w:rFonts w:ascii="Arial" w:hAnsi="Arial" w:cs="Arial"/>
          <w:color w:val="000000"/>
          <w:sz w:val="20"/>
          <w:szCs w:val="20"/>
        </w:rPr>
        <w:t>The stain is ready for use as packaged.</w:t>
      </w:r>
    </w:p>
    <w:p w14:paraId="5BA51DF3" w14:textId="4501DB40"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lastRenderedPageBreak/>
        <w:tab/>
      </w:r>
      <w:r w:rsidRPr="002C1351">
        <w:rPr>
          <w:rFonts w:ascii="Arial" w:hAnsi="Arial" w:cs="Arial"/>
          <w:b/>
          <w:bCs/>
          <w:color w:val="000000"/>
          <w:sz w:val="20"/>
          <w:szCs w:val="20"/>
        </w:rPr>
        <w:br/>
        <w:t>Storage and Stability:</w:t>
      </w:r>
      <w:r w:rsidRPr="002C1351">
        <w:rPr>
          <w:rFonts w:ascii="Arial" w:hAnsi="Arial" w:cs="Arial"/>
          <w:color w:val="000000"/>
          <w:sz w:val="20"/>
          <w:szCs w:val="20"/>
        </w:rPr>
        <w:t xml:space="preserve"> The stain solution is stable for one year when stored at 15 to 30°C in a closed container.</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pacing w:val="-4"/>
          <w:sz w:val="20"/>
          <w:szCs w:val="20"/>
        </w:rPr>
        <w:t>Signs of Deterioration:</w:t>
      </w:r>
      <w:r w:rsidRPr="002C1351">
        <w:rPr>
          <w:rFonts w:ascii="Arial" w:hAnsi="Arial" w:cs="Arial"/>
          <w:color w:val="000000"/>
          <w:spacing w:val="-4"/>
          <w:sz w:val="20"/>
          <w:szCs w:val="20"/>
        </w:rPr>
        <w:t xml:space="preserve"> The stain should be a homogeneous mixture free of precipitate.</w:t>
      </w:r>
      <w:r w:rsidRPr="002C1351">
        <w:rPr>
          <w:rFonts w:ascii="Arial" w:hAnsi="Arial" w:cs="Arial"/>
          <w:color w:val="000000"/>
          <w:sz w:val="20"/>
          <w:szCs w:val="20"/>
        </w:rPr>
        <w:t xml:space="preserve"> </w:t>
      </w:r>
    </w:p>
    <w:p w14:paraId="6EB0F716" w14:textId="67404EE9"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3.</w:t>
      </w:r>
      <w:r>
        <w:rPr>
          <w:rFonts w:ascii="Arial" w:hAnsi="Arial" w:cs="Arial"/>
          <w:b/>
          <w:bCs/>
          <w:color w:val="000000"/>
          <w:sz w:val="20"/>
          <w:szCs w:val="20"/>
        </w:rPr>
        <w:t xml:space="preserve"> </w:t>
      </w:r>
      <w:r w:rsidRPr="002C1351">
        <w:rPr>
          <w:rFonts w:ascii="Arial" w:hAnsi="Arial" w:cs="Arial"/>
          <w:b/>
          <w:bCs/>
          <w:color w:val="000000"/>
          <w:sz w:val="20"/>
          <w:szCs w:val="20"/>
        </w:rPr>
        <w:t xml:space="preserve">Citric Acid </w:t>
      </w:r>
      <w:proofErr w:type="spellStart"/>
      <w:r w:rsidRPr="002C1351">
        <w:rPr>
          <w:rFonts w:ascii="Arial" w:hAnsi="Arial" w:cs="Arial"/>
          <w:b/>
          <w:bCs/>
          <w:color w:val="000000"/>
          <w:sz w:val="20"/>
          <w:szCs w:val="20"/>
        </w:rPr>
        <w:t>Destain</w:t>
      </w:r>
      <w:proofErr w:type="spellEnd"/>
      <w:r w:rsidRPr="002C1351">
        <w:rPr>
          <w:rFonts w:ascii="Arial" w:hAnsi="Arial" w:cs="Arial"/>
          <w:b/>
          <w:bCs/>
          <w:color w:val="000000"/>
          <w:sz w:val="20"/>
          <w:szCs w:val="20"/>
        </w:rPr>
        <w:tab/>
      </w:r>
      <w:r w:rsidRPr="002C1351">
        <w:rPr>
          <w:rFonts w:ascii="Arial" w:hAnsi="Arial" w:cs="Arial"/>
          <w:b/>
          <w:bCs/>
          <w:color w:val="000000"/>
          <w:spacing w:val="-6"/>
          <w:sz w:val="20"/>
          <w:szCs w:val="20"/>
        </w:rPr>
        <w:br/>
        <w:t xml:space="preserve">Ingredients: </w:t>
      </w:r>
      <w:r w:rsidRPr="002C1351">
        <w:rPr>
          <w:rFonts w:ascii="Arial" w:hAnsi="Arial" w:cs="Arial"/>
          <w:color w:val="000000"/>
          <w:spacing w:val="-6"/>
          <w:sz w:val="20"/>
          <w:szCs w:val="20"/>
        </w:rPr>
        <w:t xml:space="preserve">After dissolution, the </w:t>
      </w:r>
      <w:proofErr w:type="spellStart"/>
      <w:r w:rsidRPr="002C1351">
        <w:rPr>
          <w:rFonts w:ascii="Arial" w:hAnsi="Arial" w:cs="Arial"/>
          <w:color w:val="000000"/>
          <w:spacing w:val="-6"/>
          <w:sz w:val="20"/>
          <w:szCs w:val="20"/>
        </w:rPr>
        <w:t>destain</w:t>
      </w:r>
      <w:proofErr w:type="spellEnd"/>
      <w:r w:rsidRPr="002C1351">
        <w:rPr>
          <w:rFonts w:ascii="Arial" w:hAnsi="Arial" w:cs="Arial"/>
          <w:color w:val="000000"/>
          <w:spacing w:val="-6"/>
          <w:sz w:val="20"/>
          <w:szCs w:val="20"/>
        </w:rPr>
        <w:t xml:space="preserve"> contains 0.3% (w/v) citric acid.</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WARNING: FOR IN-VITRO DIAGNOSTIC USE. DO NOT INGEST – IRRITANT.</w:t>
      </w:r>
      <w:r w:rsidRPr="002C1351">
        <w:rPr>
          <w:rFonts w:ascii="Arial" w:hAnsi="Arial" w:cs="Arial"/>
          <w:b/>
          <w:bCs/>
          <w:color w:val="000000"/>
          <w:spacing w:val="-4"/>
          <w:sz w:val="20"/>
          <w:szCs w:val="20"/>
        </w:rPr>
        <w:tab/>
      </w:r>
      <w:r w:rsidRPr="002C1351">
        <w:rPr>
          <w:rFonts w:ascii="Arial" w:hAnsi="Arial" w:cs="Arial"/>
          <w:b/>
          <w:bCs/>
          <w:color w:val="000000"/>
          <w:spacing w:val="-4"/>
          <w:sz w:val="20"/>
          <w:szCs w:val="20"/>
        </w:rPr>
        <w:br/>
        <w:t>Preparation for Use:</w:t>
      </w:r>
      <w:r w:rsidRPr="002C1351">
        <w:rPr>
          <w:rFonts w:ascii="Arial" w:hAnsi="Arial" w:cs="Arial"/>
          <w:color w:val="000000"/>
          <w:spacing w:val="-4"/>
          <w:sz w:val="20"/>
          <w:szCs w:val="20"/>
        </w:rPr>
        <w:t xml:space="preserve"> Pour 11 L of deionized water into the </w:t>
      </w:r>
      <w:proofErr w:type="spellStart"/>
      <w:r w:rsidRPr="002C1351">
        <w:rPr>
          <w:rFonts w:ascii="Arial" w:hAnsi="Arial" w:cs="Arial"/>
          <w:color w:val="000000"/>
          <w:spacing w:val="-4"/>
          <w:sz w:val="20"/>
          <w:szCs w:val="20"/>
        </w:rPr>
        <w:t>Destain</w:t>
      </w:r>
      <w:proofErr w:type="spellEnd"/>
      <w:r w:rsidRPr="002C1351">
        <w:rPr>
          <w:rFonts w:ascii="Arial" w:hAnsi="Arial" w:cs="Arial"/>
          <w:color w:val="000000"/>
          <w:spacing w:val="-4"/>
          <w:sz w:val="20"/>
          <w:szCs w:val="20"/>
        </w:rPr>
        <w:t xml:space="preserve"> vat. Add the entire package of </w:t>
      </w:r>
      <w:proofErr w:type="spellStart"/>
      <w:r w:rsidRPr="002C1351">
        <w:rPr>
          <w:rFonts w:ascii="Arial" w:hAnsi="Arial" w:cs="Arial"/>
          <w:color w:val="000000"/>
          <w:spacing w:val="-4"/>
          <w:sz w:val="20"/>
          <w:szCs w:val="20"/>
        </w:rPr>
        <w:t>destain</w:t>
      </w:r>
      <w:proofErr w:type="spellEnd"/>
      <w:r w:rsidRPr="002C1351">
        <w:rPr>
          <w:rFonts w:ascii="Arial" w:hAnsi="Arial" w:cs="Arial"/>
          <w:color w:val="000000"/>
          <w:spacing w:val="-4"/>
          <w:sz w:val="20"/>
          <w:szCs w:val="20"/>
        </w:rPr>
        <w:t xml:space="preserve"> and mix until completely dissolved.</w:t>
      </w:r>
      <w:r w:rsidRPr="002C1351">
        <w:rPr>
          <w:rFonts w:ascii="Arial" w:hAnsi="Arial" w:cs="Arial"/>
          <w:color w:val="000000"/>
          <w:sz w:val="20"/>
          <w:szCs w:val="20"/>
        </w:rPr>
        <w:t xml:space="preserve"> </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 xml:space="preserve">Storage and Stability: </w:t>
      </w:r>
      <w:r w:rsidRPr="002C1351">
        <w:rPr>
          <w:rFonts w:ascii="Arial" w:hAnsi="Arial" w:cs="Arial"/>
          <w:color w:val="000000"/>
          <w:sz w:val="20"/>
          <w:szCs w:val="20"/>
        </w:rPr>
        <w:t xml:space="preserve">Store the </w:t>
      </w:r>
      <w:proofErr w:type="spellStart"/>
      <w:r w:rsidRPr="002C1351">
        <w:rPr>
          <w:rFonts w:ascii="Arial" w:hAnsi="Arial" w:cs="Arial"/>
          <w:color w:val="000000"/>
          <w:sz w:val="20"/>
          <w:szCs w:val="20"/>
        </w:rPr>
        <w:t>destain</w:t>
      </w:r>
      <w:proofErr w:type="spellEnd"/>
      <w:r w:rsidRPr="002C1351">
        <w:rPr>
          <w:rFonts w:ascii="Arial" w:hAnsi="Arial" w:cs="Arial"/>
          <w:color w:val="000000"/>
          <w:sz w:val="20"/>
          <w:szCs w:val="20"/>
        </w:rPr>
        <w:t xml:space="preserve"> at 15 to 30°C. It is stable until the expiration date on the package.</w:t>
      </w:r>
      <w:r w:rsidRPr="002C1351">
        <w:rPr>
          <w:rFonts w:ascii="Arial" w:hAnsi="Arial" w:cs="Arial"/>
          <w:color w:val="000000"/>
          <w:sz w:val="20"/>
          <w:szCs w:val="20"/>
        </w:rPr>
        <w:tab/>
      </w:r>
    </w:p>
    <w:p w14:paraId="1604046D" w14:textId="292021D5"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Signs of Deterioration:</w:t>
      </w:r>
      <w:r w:rsidRPr="002C1351">
        <w:rPr>
          <w:rFonts w:ascii="Arial" w:hAnsi="Arial" w:cs="Arial"/>
          <w:color w:val="000000"/>
          <w:sz w:val="20"/>
          <w:szCs w:val="20"/>
        </w:rPr>
        <w:t xml:space="preserve"> Discard if solution becomes cloudy.</w:t>
      </w:r>
    </w:p>
    <w:p w14:paraId="00748EEC" w14:textId="76C98E14"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4.</w:t>
      </w:r>
      <w:r>
        <w:rPr>
          <w:rFonts w:ascii="Arial" w:hAnsi="Arial" w:cs="Arial"/>
          <w:b/>
          <w:bCs/>
          <w:color w:val="000000"/>
          <w:sz w:val="20"/>
          <w:szCs w:val="20"/>
        </w:rPr>
        <w:t xml:space="preserve"> </w:t>
      </w:r>
      <w:r w:rsidRPr="002C1351">
        <w:rPr>
          <w:rFonts w:ascii="Arial" w:hAnsi="Arial" w:cs="Arial"/>
          <w:b/>
          <w:bCs/>
          <w:color w:val="000000"/>
          <w:sz w:val="20"/>
          <w:szCs w:val="20"/>
        </w:rPr>
        <w:t>Clear Wash</w:t>
      </w:r>
      <w:r w:rsidRPr="002C1351">
        <w:rPr>
          <w:rFonts w:ascii="Arial" w:hAnsi="Arial" w:cs="Arial"/>
          <w:b/>
          <w:bCs/>
          <w:color w:val="000000"/>
          <w:sz w:val="20"/>
          <w:szCs w:val="20"/>
        </w:rPr>
        <w:tab/>
      </w:r>
      <w:r w:rsidRPr="002C1351">
        <w:rPr>
          <w:rFonts w:ascii="Arial" w:hAnsi="Arial" w:cs="Arial"/>
          <w:b/>
          <w:bCs/>
          <w:color w:val="000000"/>
          <w:sz w:val="20"/>
          <w:szCs w:val="20"/>
        </w:rPr>
        <w:br/>
        <w:t>Ingredients:</w:t>
      </w:r>
      <w:r w:rsidRPr="002C1351">
        <w:rPr>
          <w:rFonts w:ascii="Arial" w:hAnsi="Arial" w:cs="Arial"/>
          <w:color w:val="000000"/>
          <w:sz w:val="20"/>
          <w:szCs w:val="20"/>
        </w:rPr>
        <w:t xml:space="preserve"> The powder contains anionic and nonionic surfactants, sodium carbonate, enzymes and sodium chloride. </w:t>
      </w:r>
    </w:p>
    <w:p w14:paraId="7590587C" w14:textId="57604232"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WARNING: FOR IN-VITRO DIAGNOSTIC USE</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Preparation for Use:</w:t>
      </w:r>
      <w:r w:rsidRPr="002C1351">
        <w:rPr>
          <w:rFonts w:ascii="Arial" w:hAnsi="Arial" w:cs="Arial"/>
          <w:color w:val="000000"/>
          <w:sz w:val="20"/>
          <w:szCs w:val="20"/>
        </w:rPr>
        <w:t xml:space="preserve"> Dissolve the powder in 8 L of deionized water and mix thoroughly.</w:t>
      </w:r>
      <w:r w:rsidRPr="002C1351">
        <w:rPr>
          <w:rFonts w:ascii="Arial" w:hAnsi="Arial" w:cs="Arial"/>
          <w:b/>
          <w:bCs/>
          <w:color w:val="000000"/>
          <w:sz w:val="20"/>
          <w:szCs w:val="20"/>
        </w:rPr>
        <w:tab/>
      </w:r>
      <w:r w:rsidRPr="002C1351">
        <w:rPr>
          <w:rFonts w:ascii="Arial" w:hAnsi="Arial" w:cs="Arial"/>
          <w:b/>
          <w:bCs/>
          <w:color w:val="000000"/>
          <w:sz w:val="20"/>
          <w:szCs w:val="20"/>
        </w:rPr>
        <w:br/>
        <w:t xml:space="preserve">Storage and Stability: </w:t>
      </w:r>
      <w:r w:rsidRPr="002C1351">
        <w:rPr>
          <w:rFonts w:ascii="Arial" w:hAnsi="Arial" w:cs="Arial"/>
          <w:color w:val="000000"/>
          <w:sz w:val="20"/>
          <w:szCs w:val="20"/>
        </w:rPr>
        <w:t>Store the dry powder at 15 to 30°C until the expiration date indicated on the label. The buffer solution should be stored at 15 to 30°C.</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Signs of Deterioration:</w:t>
      </w:r>
      <w:r w:rsidRPr="002C1351">
        <w:rPr>
          <w:rFonts w:ascii="Arial" w:hAnsi="Arial" w:cs="Arial"/>
          <w:color w:val="000000"/>
          <w:sz w:val="20"/>
          <w:szCs w:val="20"/>
        </w:rPr>
        <w:t xml:space="preserve"> The buffer solution should be discarded if it shows signs of bacterial contamination.</w:t>
      </w:r>
    </w:p>
    <w:p w14:paraId="043B8E30" w14:textId="79B33C50"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5. SPIFE Nexus Pipette Wash</w:t>
      </w:r>
      <w:r w:rsidRPr="002C1351">
        <w:rPr>
          <w:rFonts w:ascii="Arial" w:hAnsi="Arial" w:cs="Arial"/>
          <w:b/>
          <w:bCs/>
          <w:color w:val="000000"/>
          <w:spacing w:val="-4"/>
          <w:sz w:val="20"/>
          <w:szCs w:val="20"/>
        </w:rPr>
        <w:tab/>
      </w:r>
      <w:r w:rsidRPr="002C1351">
        <w:rPr>
          <w:rFonts w:ascii="Arial" w:hAnsi="Arial" w:cs="Arial"/>
          <w:b/>
          <w:bCs/>
          <w:color w:val="000000"/>
          <w:spacing w:val="-4"/>
          <w:sz w:val="20"/>
          <w:szCs w:val="20"/>
        </w:rPr>
        <w:br/>
        <w:t>Ingredients:</w:t>
      </w:r>
      <w:r w:rsidRPr="002C1351">
        <w:rPr>
          <w:rFonts w:ascii="Arial" w:hAnsi="Arial" w:cs="Arial"/>
          <w:color w:val="000000"/>
          <w:spacing w:val="-4"/>
          <w:sz w:val="20"/>
          <w:szCs w:val="20"/>
        </w:rPr>
        <w:t xml:space="preserve"> The buffer solution contains a sodium hydroxide solution.</w:t>
      </w:r>
      <w:r w:rsidRPr="002C1351">
        <w:rPr>
          <w:rFonts w:ascii="Arial" w:hAnsi="Arial" w:cs="Arial"/>
          <w:color w:val="000000"/>
          <w:sz w:val="20"/>
          <w:szCs w:val="20"/>
        </w:rPr>
        <w:tab/>
      </w:r>
      <w:r w:rsidRPr="002C1351">
        <w:rPr>
          <w:rFonts w:ascii="Arial" w:hAnsi="Arial" w:cs="Arial"/>
          <w:b/>
          <w:bCs/>
          <w:color w:val="000000"/>
          <w:sz w:val="20"/>
          <w:szCs w:val="20"/>
        </w:rPr>
        <w:br/>
        <w:t>WARNING: FOR IN-VITRO DIAGNOSTIC USE. DANGER: CORROSIVE—NEVER PIPETTE BY MOUTH. DO NOT INGEST.</w:t>
      </w:r>
      <w:r w:rsidRPr="002C1351">
        <w:rPr>
          <w:rFonts w:ascii="Arial" w:hAnsi="Arial" w:cs="Arial"/>
          <w:b/>
          <w:bCs/>
          <w:color w:val="000000"/>
          <w:sz w:val="20"/>
          <w:szCs w:val="20"/>
        </w:rPr>
        <w:tab/>
      </w:r>
      <w:r w:rsidRPr="002C1351">
        <w:rPr>
          <w:rFonts w:ascii="Arial" w:hAnsi="Arial" w:cs="Arial"/>
          <w:b/>
          <w:bCs/>
          <w:color w:val="000000"/>
          <w:spacing w:val="-4"/>
          <w:sz w:val="20"/>
          <w:szCs w:val="20"/>
        </w:rPr>
        <w:br/>
        <w:t xml:space="preserve">Preparation for Use: </w:t>
      </w:r>
      <w:r w:rsidRPr="002C1351">
        <w:rPr>
          <w:rFonts w:ascii="Arial" w:hAnsi="Arial" w:cs="Arial"/>
          <w:color w:val="000000"/>
          <w:spacing w:val="-4"/>
          <w:sz w:val="20"/>
          <w:szCs w:val="20"/>
        </w:rPr>
        <w:t>The buffer solution is ready for use as packaged.</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Storage and Stability:</w:t>
      </w:r>
      <w:r w:rsidRPr="002C1351">
        <w:rPr>
          <w:rFonts w:ascii="Arial" w:hAnsi="Arial" w:cs="Arial"/>
          <w:color w:val="000000"/>
          <w:sz w:val="20"/>
          <w:szCs w:val="20"/>
        </w:rPr>
        <w:t xml:space="preserve"> The buffer solution should be stored at 15 to 30°C and is stable until the expiration date indicated on the vial.</w:t>
      </w:r>
      <w:r w:rsidRPr="002C1351">
        <w:rPr>
          <w:rFonts w:ascii="Arial" w:hAnsi="Arial" w:cs="Arial"/>
          <w:color w:val="000000"/>
          <w:sz w:val="20"/>
          <w:szCs w:val="20"/>
        </w:rPr>
        <w:tab/>
      </w:r>
      <w:r w:rsidRPr="002C1351">
        <w:rPr>
          <w:rFonts w:ascii="Arial" w:hAnsi="Arial" w:cs="Arial"/>
          <w:color w:val="000000"/>
          <w:spacing w:val="-4"/>
          <w:sz w:val="20"/>
          <w:szCs w:val="20"/>
        </w:rPr>
        <w:br/>
      </w:r>
      <w:r w:rsidRPr="002C1351">
        <w:rPr>
          <w:rFonts w:ascii="Arial" w:hAnsi="Arial" w:cs="Arial"/>
          <w:b/>
          <w:bCs/>
          <w:color w:val="000000"/>
          <w:spacing w:val="-4"/>
          <w:sz w:val="20"/>
          <w:szCs w:val="20"/>
        </w:rPr>
        <w:t>Signs of Deterioration:</w:t>
      </w:r>
      <w:r w:rsidRPr="002C1351">
        <w:rPr>
          <w:rFonts w:ascii="Arial" w:hAnsi="Arial" w:cs="Arial"/>
          <w:color w:val="000000"/>
          <w:spacing w:val="-4"/>
          <w:sz w:val="20"/>
          <w:szCs w:val="20"/>
        </w:rPr>
        <w:t xml:space="preserve"> The buffer solution should be a clear solution.</w:t>
      </w:r>
    </w:p>
    <w:p w14:paraId="54C5621A" w14:textId="4158DC93"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6.</w:t>
      </w:r>
      <w:r>
        <w:rPr>
          <w:rFonts w:ascii="Arial" w:hAnsi="Arial" w:cs="Arial"/>
          <w:b/>
          <w:bCs/>
          <w:color w:val="000000"/>
          <w:sz w:val="20"/>
          <w:szCs w:val="20"/>
        </w:rPr>
        <w:t xml:space="preserve"> </w:t>
      </w:r>
      <w:r w:rsidRPr="002C1351">
        <w:rPr>
          <w:rFonts w:ascii="Arial" w:hAnsi="Arial" w:cs="Arial"/>
          <w:b/>
          <w:bCs/>
          <w:color w:val="000000"/>
          <w:sz w:val="20"/>
          <w:szCs w:val="20"/>
        </w:rPr>
        <w:t>SPIFE Nexus IFE Protein Fixative</w:t>
      </w:r>
      <w:r w:rsidRPr="002C1351">
        <w:rPr>
          <w:rFonts w:ascii="Arial" w:hAnsi="Arial" w:cs="Arial"/>
          <w:b/>
          <w:bCs/>
          <w:color w:val="000000"/>
          <w:sz w:val="20"/>
          <w:szCs w:val="20"/>
        </w:rPr>
        <w:tab/>
      </w:r>
      <w:r w:rsidRPr="002C1351">
        <w:rPr>
          <w:rFonts w:ascii="Arial" w:hAnsi="Arial" w:cs="Arial"/>
          <w:b/>
          <w:bCs/>
          <w:color w:val="000000"/>
          <w:sz w:val="20"/>
          <w:szCs w:val="20"/>
        </w:rPr>
        <w:br/>
        <w:t xml:space="preserve">Ingredients: </w:t>
      </w:r>
      <w:r w:rsidRPr="002C1351">
        <w:rPr>
          <w:rFonts w:ascii="Arial" w:hAnsi="Arial" w:cs="Arial"/>
          <w:color w:val="000000"/>
          <w:sz w:val="20"/>
          <w:szCs w:val="20"/>
        </w:rPr>
        <w:t>The fixative contains 4.0% sulfosalicylic acid, 6.7% trichloroacetic acid, 0.2% glutaraldehyde and 1.7% guanidine HCl.</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WARNING: FOR IN-VITRO DIAGNOSTIC USE. CORROSIVE – NEVER PIPETTE BY MOUTH. DO NOT INGEST.</w:t>
      </w:r>
    </w:p>
    <w:p w14:paraId="52DDF710" w14:textId="31589532"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Preparation for Use:</w:t>
      </w:r>
      <w:r w:rsidRPr="002C1351">
        <w:rPr>
          <w:rFonts w:ascii="Arial" w:hAnsi="Arial" w:cs="Arial"/>
          <w:color w:val="000000"/>
          <w:sz w:val="20"/>
          <w:szCs w:val="20"/>
        </w:rPr>
        <w:t xml:space="preserve"> The fixative is ready for use as packaged.</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Storage and Stability:</w:t>
      </w:r>
      <w:r w:rsidRPr="002C1351">
        <w:rPr>
          <w:rFonts w:ascii="Arial" w:hAnsi="Arial" w:cs="Arial"/>
          <w:color w:val="000000"/>
          <w:sz w:val="20"/>
          <w:szCs w:val="20"/>
        </w:rPr>
        <w:t xml:space="preserve"> The fixative should be stored at 2 to 8°C and is stable until the expiration date indicated on the vial.</w:t>
      </w:r>
    </w:p>
    <w:p w14:paraId="285BF615" w14:textId="2E60788E"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Signs of Deterioration:</w:t>
      </w:r>
      <w:r w:rsidRPr="002C1351">
        <w:rPr>
          <w:rFonts w:ascii="Arial" w:hAnsi="Arial" w:cs="Arial"/>
          <w:color w:val="000000"/>
          <w:sz w:val="20"/>
          <w:szCs w:val="20"/>
        </w:rPr>
        <w:t xml:space="preserve"> The fixative should be a clear solution.</w:t>
      </w:r>
    </w:p>
    <w:p w14:paraId="6CEB69A9" w14:textId="5EA1734C"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7.</w:t>
      </w:r>
      <w:r>
        <w:rPr>
          <w:rFonts w:ascii="Arial" w:hAnsi="Arial" w:cs="Arial"/>
          <w:b/>
          <w:bCs/>
          <w:color w:val="000000"/>
          <w:sz w:val="20"/>
          <w:szCs w:val="20"/>
        </w:rPr>
        <w:t xml:space="preserve"> </w:t>
      </w:r>
      <w:r w:rsidRPr="002C1351">
        <w:rPr>
          <w:rFonts w:ascii="Arial" w:hAnsi="Arial" w:cs="Arial"/>
          <w:b/>
          <w:bCs/>
          <w:color w:val="000000"/>
          <w:sz w:val="20"/>
          <w:szCs w:val="20"/>
        </w:rPr>
        <w:t>Antisera to Human IgG, IgA, IgM, Kappa Light Chain and Lambda Light Chain</w:t>
      </w:r>
      <w:r w:rsidRPr="002C1351">
        <w:rPr>
          <w:rFonts w:ascii="Arial" w:hAnsi="Arial" w:cs="Arial"/>
          <w:b/>
          <w:bCs/>
          <w:color w:val="000000"/>
          <w:sz w:val="20"/>
          <w:szCs w:val="20"/>
        </w:rPr>
        <w:tab/>
      </w:r>
      <w:r w:rsidRPr="002C1351">
        <w:rPr>
          <w:rFonts w:ascii="Arial" w:hAnsi="Arial" w:cs="Arial"/>
          <w:b/>
          <w:bCs/>
          <w:color w:val="000000"/>
          <w:sz w:val="20"/>
          <w:szCs w:val="20"/>
        </w:rPr>
        <w:br/>
        <w:t>Ingredients:</w:t>
      </w:r>
      <w:r w:rsidRPr="002C1351">
        <w:rPr>
          <w:rFonts w:ascii="Arial" w:hAnsi="Arial" w:cs="Arial"/>
          <w:color w:val="000000"/>
          <w:sz w:val="20"/>
          <w:szCs w:val="20"/>
        </w:rPr>
        <w:t xml:space="preserve"> Antisera vials in the kit contain monospecific antisera to human immunoglobulin heavy chains, IgG, IgM, IgA and to human light chains, Kappa and Lambda. The antisera have been prepared in goat. Each vial of antiserum contains a stabilizer and sodium </w:t>
      </w:r>
      <w:proofErr w:type="spellStart"/>
      <w:r w:rsidRPr="002C1351">
        <w:rPr>
          <w:rFonts w:ascii="Arial" w:hAnsi="Arial" w:cs="Arial"/>
          <w:color w:val="000000"/>
          <w:sz w:val="20"/>
          <w:szCs w:val="20"/>
        </w:rPr>
        <w:t>azide</w:t>
      </w:r>
      <w:proofErr w:type="spellEnd"/>
      <w:r w:rsidRPr="002C1351">
        <w:rPr>
          <w:rFonts w:ascii="Arial" w:hAnsi="Arial" w:cs="Arial"/>
          <w:color w:val="000000"/>
          <w:sz w:val="20"/>
          <w:szCs w:val="20"/>
        </w:rPr>
        <w:t xml:space="preserve"> as a preservative.</w:t>
      </w:r>
    </w:p>
    <w:p w14:paraId="1E417C7F" w14:textId="5C98286A"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WARNING: FOR IN-VITRO DIAGNOSTIC USE ONLY.</w:t>
      </w:r>
      <w:r w:rsidRPr="002C1351">
        <w:rPr>
          <w:rFonts w:ascii="Arial" w:hAnsi="Arial" w:cs="Arial"/>
          <w:color w:val="000000"/>
          <w:sz w:val="20"/>
          <w:szCs w:val="20"/>
        </w:rPr>
        <w:t xml:space="preserve"> To prevent the formation of toxic vapors, do not mix with acidic solutions. When discarding, always flush sink with copious amounts of water. This will prevent the formation of metallic </w:t>
      </w:r>
      <w:proofErr w:type="spellStart"/>
      <w:r w:rsidRPr="002C1351">
        <w:rPr>
          <w:rFonts w:ascii="Arial" w:hAnsi="Arial" w:cs="Arial"/>
          <w:color w:val="000000"/>
          <w:sz w:val="20"/>
          <w:szCs w:val="20"/>
        </w:rPr>
        <w:t>azides</w:t>
      </w:r>
      <w:proofErr w:type="spellEnd"/>
      <w:r w:rsidRPr="002C1351">
        <w:rPr>
          <w:rFonts w:ascii="Arial" w:hAnsi="Arial" w:cs="Arial"/>
          <w:color w:val="000000"/>
          <w:sz w:val="20"/>
          <w:szCs w:val="20"/>
        </w:rPr>
        <w:t xml:space="preserve"> which, when highly concentrated in metal plumbing, are potentially explosive. In addition to purging pipes with water, plumbing should occasionally be decontaminated with 10% NaOH.</w:t>
      </w:r>
    </w:p>
    <w:p w14:paraId="3F8DD306" w14:textId="5EFCA133"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 xml:space="preserve">Preparation for Use: </w:t>
      </w:r>
      <w:r w:rsidRPr="002C1351">
        <w:rPr>
          <w:rFonts w:ascii="Arial" w:hAnsi="Arial" w:cs="Arial"/>
          <w:color w:val="000000"/>
          <w:sz w:val="20"/>
          <w:szCs w:val="20"/>
        </w:rPr>
        <w:t>The antisera are ready for use as packaged.</w:t>
      </w:r>
      <w:r w:rsidRPr="002C1351">
        <w:rPr>
          <w:rFonts w:ascii="Arial" w:hAnsi="Arial" w:cs="Arial"/>
          <w:b/>
          <w:bCs/>
          <w:color w:val="000000"/>
          <w:sz w:val="20"/>
          <w:szCs w:val="20"/>
        </w:rPr>
        <w:tab/>
      </w:r>
      <w:r w:rsidRPr="002C1351">
        <w:rPr>
          <w:rFonts w:ascii="Arial" w:hAnsi="Arial" w:cs="Arial"/>
          <w:b/>
          <w:bCs/>
          <w:color w:val="000000"/>
          <w:sz w:val="20"/>
          <w:szCs w:val="20"/>
        </w:rPr>
        <w:br/>
        <w:t xml:space="preserve">Storage and Stability: </w:t>
      </w:r>
      <w:r w:rsidRPr="002C1351">
        <w:rPr>
          <w:rFonts w:ascii="Arial" w:hAnsi="Arial" w:cs="Arial"/>
          <w:color w:val="000000"/>
          <w:sz w:val="20"/>
          <w:szCs w:val="20"/>
        </w:rPr>
        <w:t>The antisera should be stored at 2 to 8°C and are stable until the expiration date indicated on the vial.</w:t>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b/>
          <w:bCs/>
          <w:color w:val="000000"/>
          <w:sz w:val="20"/>
          <w:szCs w:val="20"/>
        </w:rPr>
        <w:t>Signs of Deterioration:</w:t>
      </w:r>
      <w:r w:rsidRPr="002C1351">
        <w:rPr>
          <w:rFonts w:ascii="Arial" w:hAnsi="Arial" w:cs="Arial"/>
          <w:color w:val="000000"/>
          <w:sz w:val="20"/>
          <w:szCs w:val="20"/>
        </w:rPr>
        <w:t xml:space="preserve"> Extremely cloudy antisera may be indicative of bacterial contamination.</w:t>
      </w:r>
    </w:p>
    <w:p w14:paraId="3EE56200"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strike/>
          <w:color w:val="000000"/>
          <w:sz w:val="20"/>
          <w:szCs w:val="20"/>
        </w:rPr>
      </w:pPr>
      <w:r w:rsidRPr="002C1351">
        <w:rPr>
          <w:rFonts w:ascii="Arial" w:hAnsi="Arial" w:cs="Arial"/>
          <w:b/>
          <w:bCs/>
          <w:color w:val="000000"/>
          <w:sz w:val="20"/>
          <w:szCs w:val="20"/>
        </w:rPr>
        <w:t>INSTRUMENT</w:t>
      </w:r>
    </w:p>
    <w:p w14:paraId="00ED6528"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A SPIFE Nexus analyzer must be used to apply samples, electrophorese, apply antisera and fixative, wash, stain, </w:t>
      </w:r>
      <w:proofErr w:type="spellStart"/>
      <w:r w:rsidRPr="002C1351">
        <w:rPr>
          <w:rFonts w:ascii="Arial" w:hAnsi="Arial" w:cs="Arial"/>
          <w:color w:val="000000"/>
          <w:sz w:val="20"/>
          <w:szCs w:val="20"/>
        </w:rPr>
        <w:t>destain</w:t>
      </w:r>
      <w:proofErr w:type="spellEnd"/>
      <w:r w:rsidRPr="002C1351">
        <w:rPr>
          <w:rFonts w:ascii="Arial" w:hAnsi="Arial" w:cs="Arial"/>
          <w:color w:val="000000"/>
          <w:sz w:val="20"/>
          <w:szCs w:val="20"/>
        </w:rPr>
        <w:t xml:space="preserve">, dry and then scan the gel. The gels may also be scanned on a separate densitometer such as the </w:t>
      </w:r>
      <w:proofErr w:type="spellStart"/>
      <w:r w:rsidRPr="002C1351">
        <w:rPr>
          <w:rFonts w:ascii="Arial" w:hAnsi="Arial" w:cs="Arial"/>
          <w:color w:val="000000"/>
          <w:sz w:val="20"/>
          <w:szCs w:val="20"/>
        </w:rPr>
        <w:t>QuickScan</w:t>
      </w:r>
      <w:proofErr w:type="spellEnd"/>
      <w:r w:rsidRPr="002C1351">
        <w:rPr>
          <w:rFonts w:ascii="Arial" w:hAnsi="Arial" w:cs="Arial"/>
          <w:color w:val="000000"/>
          <w:sz w:val="20"/>
          <w:szCs w:val="20"/>
        </w:rPr>
        <w:t xml:space="preserve"> Touch Plus (Cat. No. 1640). Refer to the Operator's Manual for detailed instructions.</w:t>
      </w:r>
    </w:p>
    <w:p w14:paraId="2E4E6A20" w14:textId="77777777" w:rsidR="002C1351" w:rsidRPr="002C1351" w:rsidRDefault="002C1351" w:rsidP="002C1351">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 xml:space="preserve">SPECIMEN COLLECTION AND HANDLING </w:t>
      </w:r>
    </w:p>
    <w:p w14:paraId="114A291E"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lastRenderedPageBreak/>
        <w:t>Specimen:</w:t>
      </w:r>
      <w:r w:rsidRPr="002C1351">
        <w:rPr>
          <w:rFonts w:ascii="Arial" w:hAnsi="Arial" w:cs="Arial"/>
          <w:color w:val="000000"/>
          <w:sz w:val="20"/>
          <w:szCs w:val="20"/>
        </w:rPr>
        <w:t xml:space="preserve"> Fresh serum or urine is the specimen of choice.</w:t>
      </w:r>
    </w:p>
    <w:p w14:paraId="65181A8F"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Storage and Stability:</w:t>
      </w:r>
      <w:r w:rsidRPr="002C1351">
        <w:rPr>
          <w:rFonts w:ascii="Arial" w:hAnsi="Arial" w:cs="Arial"/>
          <w:color w:val="000000"/>
          <w:sz w:val="20"/>
          <w:szCs w:val="20"/>
        </w:rPr>
        <w:t xml:space="preserve"> If storage is necessary, samples may be stored covered at 2 to 8°C for up to 72 hours. It is the responsibility of the individual laboratory to use all available references and/or its own studies to determine specific stability criteria for its laboratory.</w:t>
      </w:r>
    </w:p>
    <w:p w14:paraId="68BFBA0C"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Interfering Factors:</w:t>
      </w:r>
      <w:r w:rsidRPr="002C1351">
        <w:rPr>
          <w:rFonts w:ascii="Arial" w:hAnsi="Arial" w:cs="Arial"/>
          <w:color w:val="000000"/>
          <w:sz w:val="20"/>
          <w:szCs w:val="20"/>
        </w:rPr>
        <w:t xml:space="preserve"> </w:t>
      </w:r>
    </w:p>
    <w:p w14:paraId="1E515BA4" w14:textId="0BB5B36A"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color w:val="000000"/>
          <w:spacing w:val="-2"/>
          <w:sz w:val="20"/>
          <w:szCs w:val="20"/>
        </w:rPr>
        <w:t>1. Evaporation of uncovered specimens may cause inaccurate results.</w:t>
      </w:r>
    </w:p>
    <w:p w14:paraId="32357107" w14:textId="54B08EE5"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20"/>
          <w:szCs w:val="20"/>
        </w:rPr>
      </w:pPr>
      <w:r w:rsidRPr="002C1351">
        <w:rPr>
          <w:rFonts w:ascii="Arial" w:hAnsi="Arial" w:cs="Arial"/>
          <w:color w:val="000000"/>
          <w:sz w:val="20"/>
          <w:szCs w:val="20"/>
        </w:rPr>
        <w:t xml:space="preserve">2. Use of plasma will cause a fibrinogen band to appear as a distinct narrow band between the beta and gamma fractions. Although fibrinogen does not react with the antisera provided in the kit, fibrinogen may potentially adhere to the gel matrix resulting in </w:t>
      </w:r>
      <w:proofErr w:type="spellStart"/>
      <w:r w:rsidRPr="002C1351">
        <w:rPr>
          <w:rFonts w:ascii="Arial" w:hAnsi="Arial" w:cs="Arial"/>
          <w:color w:val="000000"/>
          <w:sz w:val="20"/>
          <w:szCs w:val="20"/>
        </w:rPr>
        <w:t>nospecific</w:t>
      </w:r>
      <w:proofErr w:type="spellEnd"/>
      <w:r w:rsidRPr="002C1351">
        <w:rPr>
          <w:rFonts w:ascii="Arial" w:hAnsi="Arial" w:cs="Arial"/>
          <w:color w:val="000000"/>
          <w:sz w:val="20"/>
          <w:szCs w:val="20"/>
        </w:rPr>
        <w:t xml:space="preserve"> banding patterns.</w:t>
      </w:r>
    </w:p>
    <w:p w14:paraId="473DFA33" w14:textId="77777777" w:rsidR="002C1351" w:rsidRPr="002C1351" w:rsidRDefault="002C1351" w:rsidP="002C1351">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strike/>
          <w:color w:val="000000"/>
          <w:sz w:val="20"/>
          <w:szCs w:val="20"/>
        </w:rPr>
      </w:pPr>
      <w:r w:rsidRPr="002C1351">
        <w:rPr>
          <w:rFonts w:ascii="Arial" w:hAnsi="Arial" w:cs="Arial"/>
          <w:b/>
          <w:bCs/>
          <w:color w:val="000000"/>
          <w:sz w:val="20"/>
          <w:szCs w:val="20"/>
        </w:rPr>
        <w:t>PROCEDURE</w:t>
      </w:r>
    </w:p>
    <w:p w14:paraId="2FB45C82"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b/>
          <w:bCs/>
          <w:color w:val="000000"/>
          <w:spacing w:val="-6"/>
          <w:sz w:val="20"/>
          <w:szCs w:val="20"/>
        </w:rPr>
        <w:t xml:space="preserve">Materials provided: </w:t>
      </w:r>
      <w:r w:rsidRPr="002C1351">
        <w:rPr>
          <w:rFonts w:ascii="Arial" w:hAnsi="Arial" w:cs="Arial"/>
          <w:color w:val="000000"/>
          <w:spacing w:val="-6"/>
          <w:sz w:val="20"/>
          <w:szCs w:val="20"/>
        </w:rPr>
        <w:t>The following materials needed for the procedure are contained in the SPIFE Nexus IFE-9 Kit. Individual items are not available.</w:t>
      </w:r>
    </w:p>
    <w:p w14:paraId="354DA2DF"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SPIFE IFE-9 Gels (10)</w:t>
      </w:r>
      <w:r w:rsidRPr="002C1351">
        <w:rPr>
          <w:rFonts w:ascii="Arial" w:hAnsi="Arial" w:cs="Arial"/>
          <w:color w:val="000000"/>
          <w:spacing w:val="-6"/>
          <w:sz w:val="20"/>
          <w:szCs w:val="20"/>
        </w:rPr>
        <w:tab/>
        <w:t>Fixative</w:t>
      </w:r>
      <w:r w:rsidRPr="002C1351">
        <w:rPr>
          <w:rFonts w:ascii="Arial" w:hAnsi="Arial" w:cs="Arial"/>
          <w:color w:val="000000"/>
          <w:spacing w:val="-6"/>
          <w:sz w:val="20"/>
          <w:szCs w:val="20"/>
        </w:rPr>
        <w:tab/>
        <w:t>1 vial</w:t>
      </w:r>
    </w:p>
    <w:p w14:paraId="7E6E0EF6"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SPIFE Nexus Violet (1 vial)</w:t>
      </w:r>
      <w:r w:rsidRPr="002C1351">
        <w:rPr>
          <w:rFonts w:ascii="Arial" w:hAnsi="Arial" w:cs="Arial"/>
          <w:color w:val="000000"/>
          <w:spacing w:val="-6"/>
          <w:sz w:val="20"/>
          <w:szCs w:val="20"/>
        </w:rPr>
        <w:tab/>
        <w:t>IgG</w:t>
      </w:r>
      <w:r w:rsidRPr="002C1351">
        <w:rPr>
          <w:rFonts w:ascii="Arial" w:hAnsi="Arial" w:cs="Arial"/>
          <w:color w:val="000000"/>
          <w:spacing w:val="-6"/>
          <w:sz w:val="20"/>
          <w:szCs w:val="20"/>
        </w:rPr>
        <w:tab/>
        <w:t>1 vial</w:t>
      </w:r>
    </w:p>
    <w:p w14:paraId="5F40FE48"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Clear Wash (1 pkg)</w:t>
      </w:r>
      <w:r w:rsidRPr="002C1351">
        <w:rPr>
          <w:rFonts w:ascii="Arial" w:hAnsi="Arial" w:cs="Arial"/>
          <w:color w:val="000000"/>
          <w:spacing w:val="-6"/>
          <w:sz w:val="20"/>
          <w:szCs w:val="20"/>
        </w:rPr>
        <w:tab/>
        <w:t>IgA</w:t>
      </w:r>
      <w:r w:rsidRPr="002C1351">
        <w:rPr>
          <w:rFonts w:ascii="Arial" w:hAnsi="Arial" w:cs="Arial"/>
          <w:color w:val="000000"/>
          <w:spacing w:val="-6"/>
          <w:sz w:val="20"/>
          <w:szCs w:val="20"/>
        </w:rPr>
        <w:tab/>
        <w:t>1 vial</w:t>
      </w:r>
    </w:p>
    <w:p w14:paraId="5B68075E"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 xml:space="preserve">Citric Acid </w:t>
      </w:r>
      <w:proofErr w:type="spellStart"/>
      <w:r w:rsidRPr="002C1351">
        <w:rPr>
          <w:rFonts w:ascii="Arial" w:hAnsi="Arial" w:cs="Arial"/>
          <w:color w:val="000000"/>
          <w:spacing w:val="-6"/>
          <w:sz w:val="20"/>
          <w:szCs w:val="20"/>
        </w:rPr>
        <w:t>Destain</w:t>
      </w:r>
      <w:proofErr w:type="spellEnd"/>
      <w:r w:rsidRPr="002C1351">
        <w:rPr>
          <w:rFonts w:ascii="Arial" w:hAnsi="Arial" w:cs="Arial"/>
          <w:color w:val="000000"/>
          <w:spacing w:val="-6"/>
          <w:sz w:val="20"/>
          <w:szCs w:val="20"/>
        </w:rPr>
        <w:t xml:space="preserve"> (1 pkg)</w:t>
      </w:r>
      <w:r w:rsidRPr="002C1351">
        <w:rPr>
          <w:rFonts w:ascii="Arial" w:hAnsi="Arial" w:cs="Arial"/>
          <w:color w:val="000000"/>
          <w:spacing w:val="-6"/>
          <w:sz w:val="20"/>
          <w:szCs w:val="20"/>
        </w:rPr>
        <w:tab/>
        <w:t>IgM</w:t>
      </w:r>
      <w:r w:rsidRPr="002C1351">
        <w:rPr>
          <w:rFonts w:ascii="Arial" w:hAnsi="Arial" w:cs="Arial"/>
          <w:color w:val="000000"/>
          <w:spacing w:val="-6"/>
          <w:sz w:val="20"/>
          <w:szCs w:val="20"/>
        </w:rPr>
        <w:tab/>
        <w:t>1 vial</w:t>
      </w:r>
    </w:p>
    <w:p w14:paraId="40EF7A9D"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SPIFE Nexus Blotter D (10)</w:t>
      </w:r>
      <w:r w:rsidRPr="002C1351">
        <w:rPr>
          <w:rFonts w:ascii="Arial" w:hAnsi="Arial" w:cs="Arial"/>
          <w:color w:val="000000"/>
          <w:spacing w:val="-6"/>
          <w:sz w:val="20"/>
          <w:szCs w:val="20"/>
        </w:rPr>
        <w:tab/>
        <w:t>Kappa</w:t>
      </w:r>
      <w:r w:rsidRPr="002C1351">
        <w:rPr>
          <w:rFonts w:ascii="Arial" w:hAnsi="Arial" w:cs="Arial"/>
          <w:color w:val="000000"/>
          <w:spacing w:val="-6"/>
          <w:sz w:val="20"/>
          <w:szCs w:val="20"/>
        </w:rPr>
        <w:tab/>
        <w:t>1 vial</w:t>
      </w:r>
    </w:p>
    <w:p w14:paraId="3E3FAE3B"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SPIFE Blotter C (10)</w:t>
      </w:r>
      <w:r w:rsidRPr="002C1351">
        <w:rPr>
          <w:rFonts w:ascii="Arial" w:hAnsi="Arial" w:cs="Arial"/>
          <w:color w:val="000000"/>
          <w:spacing w:val="-6"/>
          <w:sz w:val="20"/>
          <w:szCs w:val="20"/>
        </w:rPr>
        <w:tab/>
        <w:t>Lambda</w:t>
      </w:r>
      <w:r w:rsidRPr="002C1351">
        <w:rPr>
          <w:rFonts w:ascii="Arial" w:hAnsi="Arial" w:cs="Arial"/>
          <w:color w:val="000000"/>
          <w:spacing w:val="-6"/>
          <w:sz w:val="20"/>
          <w:szCs w:val="20"/>
        </w:rPr>
        <w:tab/>
        <w:t>1 vial</w:t>
      </w:r>
    </w:p>
    <w:p w14:paraId="2C0BD511"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20"/>
          <w:szCs w:val="20"/>
        </w:rPr>
      </w:pPr>
      <w:r w:rsidRPr="002C1351">
        <w:rPr>
          <w:rFonts w:ascii="Arial" w:hAnsi="Arial" w:cs="Arial"/>
          <w:color w:val="000000"/>
          <w:spacing w:val="-6"/>
          <w:sz w:val="20"/>
          <w:szCs w:val="20"/>
        </w:rPr>
        <w:tab/>
        <w:t>SPIFE Nexus Pipette Wash (1 vial)</w:t>
      </w:r>
    </w:p>
    <w:p w14:paraId="5CF9B987" w14:textId="77777777" w:rsidR="002C1351" w:rsidRPr="002C1351" w:rsidRDefault="002C1351" w:rsidP="002C1351">
      <w:pPr>
        <w:tabs>
          <w:tab w:val="left" w:pos="160"/>
          <w:tab w:val="left" w:pos="3220"/>
          <w:tab w:val="left" w:pos="4540"/>
        </w:tabs>
        <w:autoSpaceDE w:val="0"/>
        <w:autoSpaceDN w:val="0"/>
        <w:adjustRightInd w:val="0"/>
        <w:spacing w:before="20" w:line="288" w:lineRule="auto"/>
        <w:jc w:val="both"/>
        <w:textAlignment w:val="center"/>
        <w:rPr>
          <w:rFonts w:ascii="Arial" w:hAnsi="Arial" w:cs="Arial"/>
          <w:b/>
          <w:bCs/>
          <w:color w:val="000000"/>
          <w:spacing w:val="-6"/>
          <w:sz w:val="20"/>
          <w:szCs w:val="20"/>
        </w:rPr>
      </w:pPr>
      <w:r w:rsidRPr="002C1351">
        <w:rPr>
          <w:rFonts w:ascii="Arial" w:hAnsi="Arial" w:cs="Arial"/>
          <w:color w:val="000000"/>
          <w:spacing w:val="-6"/>
          <w:sz w:val="20"/>
          <w:szCs w:val="20"/>
        </w:rPr>
        <w:tab/>
        <w:t>Serrated Blade Applicator Kit, 18 Sample (30)</w:t>
      </w:r>
    </w:p>
    <w:p w14:paraId="734F4D67"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b/>
          <w:bCs/>
          <w:color w:val="000000"/>
          <w:spacing w:val="-6"/>
          <w:sz w:val="20"/>
          <w:szCs w:val="20"/>
        </w:rPr>
      </w:pPr>
      <w:r w:rsidRPr="002C1351">
        <w:rPr>
          <w:rFonts w:ascii="Arial" w:hAnsi="Arial" w:cs="Arial"/>
          <w:b/>
          <w:bCs/>
          <w:color w:val="000000"/>
          <w:spacing w:val="-8"/>
          <w:sz w:val="20"/>
          <w:szCs w:val="20"/>
        </w:rPr>
        <w:t>Materials provided by Helena Laboratories but not contained in the kit:</w:t>
      </w:r>
    </w:p>
    <w:p w14:paraId="44594EB2" w14:textId="77777777" w:rsidR="002C1351" w:rsidRPr="002C1351" w:rsidRDefault="002C1351" w:rsidP="002C1351">
      <w:pPr>
        <w:tabs>
          <w:tab w:val="left" w:pos="160"/>
          <w:tab w:val="left" w:pos="450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ab/>
        <w:t>Item                                                                                Cat. No.</w:t>
      </w:r>
    </w:p>
    <w:p w14:paraId="312CDA42"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Analyzer</w:t>
      </w:r>
      <w:r w:rsidRPr="002C1351">
        <w:rPr>
          <w:rFonts w:ascii="Arial" w:hAnsi="Arial" w:cs="Arial"/>
          <w:color w:val="000000"/>
          <w:sz w:val="20"/>
          <w:szCs w:val="20"/>
        </w:rPr>
        <w:tab/>
        <w:t>1650</w:t>
      </w:r>
    </w:p>
    <w:p w14:paraId="20BDD66B"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proofErr w:type="spellStart"/>
      <w:r w:rsidRPr="002C1351">
        <w:rPr>
          <w:rFonts w:ascii="Arial" w:hAnsi="Arial" w:cs="Arial"/>
          <w:color w:val="000000"/>
          <w:sz w:val="20"/>
          <w:szCs w:val="20"/>
        </w:rPr>
        <w:t>QuickScan</w:t>
      </w:r>
      <w:proofErr w:type="spellEnd"/>
      <w:r w:rsidRPr="002C1351">
        <w:rPr>
          <w:rFonts w:ascii="Arial" w:hAnsi="Arial" w:cs="Arial"/>
          <w:color w:val="000000"/>
          <w:sz w:val="20"/>
          <w:szCs w:val="20"/>
        </w:rPr>
        <w:t xml:space="preserve"> Touch Plus</w:t>
      </w:r>
      <w:r w:rsidRPr="002C1351">
        <w:rPr>
          <w:rFonts w:ascii="Arial" w:hAnsi="Arial" w:cs="Arial"/>
          <w:color w:val="000000"/>
          <w:sz w:val="20"/>
          <w:szCs w:val="20"/>
        </w:rPr>
        <w:tab/>
        <w:t>1640</w:t>
      </w:r>
    </w:p>
    <w:p w14:paraId="2DD78271"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IFE-9 Dispo Cup Tray</w:t>
      </w:r>
      <w:r w:rsidRPr="002C1351">
        <w:rPr>
          <w:rFonts w:ascii="Arial" w:hAnsi="Arial" w:cs="Arial"/>
          <w:color w:val="000000"/>
          <w:sz w:val="20"/>
          <w:szCs w:val="20"/>
        </w:rPr>
        <w:tab/>
        <w:t>3378</w:t>
      </w:r>
    </w:p>
    <w:p w14:paraId="3FB3EC09"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IFE-9/15 Dispo Sample Cups</w:t>
      </w:r>
      <w:r w:rsidRPr="002C1351">
        <w:rPr>
          <w:rFonts w:ascii="Arial" w:hAnsi="Arial" w:cs="Arial"/>
          <w:color w:val="000000"/>
          <w:sz w:val="20"/>
          <w:szCs w:val="20"/>
        </w:rPr>
        <w:tab/>
        <w:t>3363</w:t>
      </w:r>
    </w:p>
    <w:p w14:paraId="7472FDF1"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Gel Block Remover</w:t>
      </w:r>
      <w:r w:rsidRPr="002C1351">
        <w:rPr>
          <w:rFonts w:ascii="Arial" w:hAnsi="Arial" w:cs="Arial"/>
          <w:color w:val="000000"/>
          <w:sz w:val="20"/>
          <w:szCs w:val="20"/>
        </w:rPr>
        <w:tab/>
        <w:t>1115</w:t>
      </w:r>
    </w:p>
    <w:p w14:paraId="7A84FD3C"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Cassette</w:t>
      </w:r>
      <w:r w:rsidRPr="002C1351">
        <w:rPr>
          <w:rFonts w:ascii="Arial" w:hAnsi="Arial" w:cs="Arial"/>
          <w:color w:val="000000"/>
          <w:sz w:val="20"/>
          <w:szCs w:val="20"/>
        </w:rPr>
        <w:tab/>
        <w:t>2580</w:t>
      </w:r>
    </w:p>
    <w:p w14:paraId="5AF3DC35"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Applicator Templates</w:t>
      </w:r>
      <w:r w:rsidRPr="002C1351">
        <w:rPr>
          <w:rFonts w:ascii="Arial" w:hAnsi="Arial" w:cs="Arial"/>
          <w:color w:val="000000"/>
          <w:sz w:val="20"/>
          <w:szCs w:val="20"/>
        </w:rPr>
        <w:tab/>
        <w:t>2570</w:t>
      </w:r>
    </w:p>
    <w:p w14:paraId="5853CF5E"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Applicator Blade Weights</w:t>
      </w:r>
      <w:r w:rsidRPr="002C1351">
        <w:rPr>
          <w:rFonts w:ascii="Arial" w:hAnsi="Arial" w:cs="Arial"/>
          <w:color w:val="000000"/>
          <w:sz w:val="20"/>
          <w:szCs w:val="20"/>
        </w:rPr>
        <w:tab/>
        <w:t>2572</w:t>
      </w:r>
    </w:p>
    <w:p w14:paraId="22473B7E"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Dispo Stain Cups</w:t>
      </w:r>
      <w:r w:rsidRPr="002C1351">
        <w:rPr>
          <w:rFonts w:ascii="Arial" w:hAnsi="Arial" w:cs="Arial"/>
          <w:color w:val="000000"/>
          <w:sz w:val="20"/>
          <w:szCs w:val="20"/>
        </w:rPr>
        <w:tab/>
        <w:t>2575</w:t>
      </w:r>
    </w:p>
    <w:p w14:paraId="21C20B4B"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Pos ID Barcode Labels for Touch &amp; SPIFE Nexus Systems </w:t>
      </w:r>
      <w:r w:rsidRPr="002C1351">
        <w:rPr>
          <w:rFonts w:ascii="Arial" w:hAnsi="Arial" w:cs="Arial"/>
          <w:color w:val="000000"/>
          <w:sz w:val="20"/>
          <w:szCs w:val="20"/>
        </w:rPr>
        <w:tab/>
        <w:t>1696</w:t>
      </w:r>
    </w:p>
    <w:p w14:paraId="2C3810C4"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REP Prep</w:t>
      </w:r>
      <w:r w:rsidRPr="002C1351">
        <w:rPr>
          <w:rFonts w:ascii="Arial" w:hAnsi="Arial" w:cs="Arial"/>
          <w:color w:val="000000"/>
          <w:sz w:val="20"/>
          <w:szCs w:val="20"/>
        </w:rPr>
        <w:tab/>
        <w:t>3100</w:t>
      </w:r>
    </w:p>
    <w:p w14:paraId="7DE804D8"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Reagent Roller</w:t>
      </w:r>
      <w:r w:rsidRPr="002C1351">
        <w:rPr>
          <w:rFonts w:ascii="Arial" w:hAnsi="Arial" w:cs="Arial"/>
          <w:color w:val="000000"/>
          <w:sz w:val="20"/>
          <w:szCs w:val="20"/>
        </w:rPr>
        <w:tab/>
        <w:t>2583</w:t>
      </w:r>
    </w:p>
    <w:p w14:paraId="490EC3E9"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Ready Run Kit</w:t>
      </w:r>
      <w:r w:rsidRPr="002C1351">
        <w:rPr>
          <w:rFonts w:ascii="Arial" w:hAnsi="Arial" w:cs="Arial"/>
          <w:color w:val="000000"/>
          <w:sz w:val="20"/>
          <w:szCs w:val="20"/>
        </w:rPr>
        <w:tab/>
        <w:t>2582</w:t>
      </w:r>
    </w:p>
    <w:p w14:paraId="567E9BC8"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Antisera Spreader Tips</w:t>
      </w:r>
      <w:r w:rsidRPr="002C1351">
        <w:rPr>
          <w:rFonts w:ascii="Arial" w:hAnsi="Arial" w:cs="Arial"/>
          <w:color w:val="000000"/>
          <w:sz w:val="20"/>
          <w:szCs w:val="20"/>
        </w:rPr>
        <w:tab/>
        <w:t>2574</w:t>
      </w:r>
    </w:p>
    <w:p w14:paraId="522B3533"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Carbon Electrode Insert</w:t>
      </w:r>
      <w:r w:rsidRPr="002C1351">
        <w:rPr>
          <w:rFonts w:ascii="Arial" w:hAnsi="Arial" w:cs="Arial"/>
          <w:color w:val="000000"/>
          <w:sz w:val="20"/>
          <w:szCs w:val="20"/>
        </w:rPr>
        <w:tab/>
        <w:t>2576</w:t>
      </w:r>
    </w:p>
    <w:p w14:paraId="5EA4D4CB"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SPIFE Nexus A22 Short Electrode Insert</w:t>
      </w:r>
      <w:r w:rsidRPr="002C1351">
        <w:rPr>
          <w:rFonts w:ascii="Arial" w:hAnsi="Arial" w:cs="Arial"/>
          <w:color w:val="000000"/>
          <w:sz w:val="20"/>
          <w:szCs w:val="20"/>
        </w:rPr>
        <w:tab/>
        <w:t>2577</w:t>
      </w:r>
    </w:p>
    <w:p w14:paraId="748465D5"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IFE Antisera to </w:t>
      </w:r>
      <w:proofErr w:type="spellStart"/>
      <w:r w:rsidRPr="002C1351">
        <w:rPr>
          <w:rFonts w:ascii="Arial" w:hAnsi="Arial" w:cs="Arial"/>
          <w:color w:val="000000"/>
          <w:sz w:val="20"/>
          <w:szCs w:val="20"/>
        </w:rPr>
        <w:t>IgD</w:t>
      </w:r>
      <w:proofErr w:type="spellEnd"/>
      <w:r w:rsidRPr="002C1351">
        <w:rPr>
          <w:rFonts w:ascii="Arial" w:hAnsi="Arial" w:cs="Arial"/>
          <w:color w:val="000000"/>
          <w:sz w:val="20"/>
          <w:szCs w:val="20"/>
        </w:rPr>
        <w:tab/>
        <w:t>9419</w:t>
      </w:r>
    </w:p>
    <w:p w14:paraId="16438069"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IFE Antisera to </w:t>
      </w:r>
      <w:proofErr w:type="spellStart"/>
      <w:r w:rsidRPr="002C1351">
        <w:rPr>
          <w:rFonts w:ascii="Arial" w:hAnsi="Arial" w:cs="Arial"/>
          <w:color w:val="000000"/>
          <w:sz w:val="20"/>
          <w:szCs w:val="20"/>
        </w:rPr>
        <w:t>IgE</w:t>
      </w:r>
      <w:proofErr w:type="spellEnd"/>
      <w:r w:rsidRPr="002C1351">
        <w:rPr>
          <w:rFonts w:ascii="Arial" w:hAnsi="Arial" w:cs="Arial"/>
          <w:color w:val="000000"/>
          <w:sz w:val="20"/>
          <w:szCs w:val="20"/>
        </w:rPr>
        <w:tab/>
        <w:t>9420</w:t>
      </w:r>
    </w:p>
    <w:p w14:paraId="36A20281"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IFE Antisera to Free Kappa</w:t>
      </w:r>
      <w:r w:rsidRPr="002C1351">
        <w:rPr>
          <w:rFonts w:ascii="Arial" w:hAnsi="Arial" w:cs="Arial"/>
          <w:color w:val="000000"/>
          <w:sz w:val="20"/>
          <w:szCs w:val="20"/>
        </w:rPr>
        <w:tab/>
        <w:t>9422</w:t>
      </w:r>
    </w:p>
    <w:p w14:paraId="0046D7D9" w14:textId="77777777" w:rsidR="002C1351" w:rsidRPr="002C1351" w:rsidRDefault="002C1351" w:rsidP="002C1351">
      <w:pPr>
        <w:tabs>
          <w:tab w:val="left" w:pos="160"/>
          <w:tab w:val="left" w:pos="45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IFE Antisera to Free Lambda</w:t>
      </w:r>
      <w:r w:rsidRPr="002C1351">
        <w:rPr>
          <w:rFonts w:ascii="Arial" w:hAnsi="Arial" w:cs="Arial"/>
          <w:color w:val="000000"/>
          <w:sz w:val="20"/>
          <w:szCs w:val="20"/>
        </w:rPr>
        <w:tab/>
        <w:t>9423</w:t>
      </w:r>
    </w:p>
    <w:p w14:paraId="38D35029" w14:textId="77777777" w:rsidR="002C1351" w:rsidRPr="002C1351" w:rsidRDefault="002C1351" w:rsidP="002C1351">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Materials and Supplies Needed but not Supplied:</w:t>
      </w:r>
    </w:p>
    <w:p w14:paraId="1DB714CE" w14:textId="77777777" w:rsidR="002C1351" w:rsidRPr="002C1351" w:rsidRDefault="002C1351" w:rsidP="002C1351">
      <w:pPr>
        <w:tabs>
          <w:tab w:val="left" w:pos="220"/>
          <w:tab w:val="left" w:pos="400"/>
          <w:tab w:val="right" w:pos="494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0.85% saline </w:t>
      </w:r>
    </w:p>
    <w:p w14:paraId="13A5F7E2" w14:textId="77777777" w:rsidR="002C1351" w:rsidRPr="002C1351" w:rsidRDefault="002C1351" w:rsidP="002C1351">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 xml:space="preserve">STEP-BY-STEP METHOD </w:t>
      </w:r>
    </w:p>
    <w:p w14:paraId="232C30B5" w14:textId="7C5537E3" w:rsidR="002C1351" w:rsidRPr="002C1351" w:rsidRDefault="002C1351" w:rsidP="002C1351">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20"/>
          <w:szCs w:val="20"/>
        </w:rPr>
      </w:pPr>
      <w:r w:rsidRPr="002C1351">
        <w:rPr>
          <w:rFonts w:ascii="Arial" w:hAnsi="Arial" w:cs="Arial"/>
          <w:b/>
          <w:bCs/>
          <w:color w:val="000000"/>
          <w:sz w:val="20"/>
          <w:szCs w:val="20"/>
        </w:rPr>
        <w:t xml:space="preserve">I. </w:t>
      </w:r>
      <w:r w:rsidRPr="002C1351">
        <w:rPr>
          <w:rFonts w:ascii="Arial" w:hAnsi="Arial" w:cs="Arial"/>
          <w:b/>
          <w:bCs/>
          <w:color w:val="000000"/>
          <w:sz w:val="20"/>
          <w:szCs w:val="20"/>
        </w:rPr>
        <w:tab/>
        <w:t xml:space="preserve">Sample Preparation </w:t>
      </w:r>
      <w:r w:rsidRPr="002C1351">
        <w:rPr>
          <w:rFonts w:ascii="Arial" w:hAnsi="Arial" w:cs="Arial"/>
          <w:b/>
          <w:bCs/>
          <w:color w:val="000000"/>
          <w:sz w:val="20"/>
          <w:szCs w:val="20"/>
        </w:rPr>
        <w:tab/>
      </w:r>
      <w:r w:rsidRPr="002C1351">
        <w:rPr>
          <w:rFonts w:ascii="Arial" w:hAnsi="Arial" w:cs="Arial"/>
          <w:b/>
          <w:bCs/>
          <w:color w:val="000000"/>
          <w:sz w:val="20"/>
          <w:szCs w:val="20"/>
        </w:rPr>
        <w:br/>
      </w:r>
      <w:r w:rsidRPr="002C1351">
        <w:rPr>
          <w:rFonts w:ascii="Arial" w:hAnsi="Arial" w:cs="Arial"/>
          <w:color w:val="000000"/>
          <w:spacing w:val="2"/>
          <w:sz w:val="20"/>
          <w:szCs w:val="20"/>
        </w:rPr>
        <w:t xml:space="preserve">Desired dilutions are operator programmable and may be individually set. Available dilutions are Neat; 1 in 2; 1 in 3; 1 in 4; 1 in 5; 1 in 6; 1 in 7; 1 in 8; 1 in 10; 1 in 12; 1 in 14; 1 in 16; 1 in 18, and 1 in 20 with options ranging from Neat to 1:20. Dilutions are automatically pipetted into the sample cups at a volume of 19 µL per well. See </w:t>
      </w:r>
      <w:r w:rsidRPr="002C1351">
        <w:rPr>
          <w:rFonts w:ascii="Arial" w:hAnsi="Arial" w:cs="Arial"/>
          <w:color w:val="000000"/>
          <w:spacing w:val="2"/>
          <w:sz w:val="20"/>
          <w:szCs w:val="20"/>
        </w:rPr>
        <w:lastRenderedPageBreak/>
        <w:t>the SPIFE Nexus Operator’s Manual for additional instructions. More concentrated samples are more likely to prozone while the more dilute samples may not exhibit desired sensitivity.</w:t>
      </w:r>
    </w:p>
    <w:p w14:paraId="6F6B5B51" w14:textId="68F83CDC" w:rsidR="002C1351" w:rsidRPr="002C1351" w:rsidRDefault="002C1351" w:rsidP="002C1351">
      <w:pPr>
        <w:tabs>
          <w:tab w:val="left" w:pos="160"/>
          <w:tab w:val="right" w:pos="440"/>
          <w:tab w:val="left" w:pos="520"/>
          <w:tab w:val="left" w:pos="560"/>
          <w:tab w:val="left" w:pos="760"/>
          <w:tab w:val="left" w:pos="860"/>
          <w:tab w:val="left" w:pos="2100"/>
          <w:tab w:val="right" w:pos="4980"/>
        </w:tabs>
        <w:autoSpaceDE w:val="0"/>
        <w:autoSpaceDN w:val="0"/>
        <w:adjustRightInd w:val="0"/>
        <w:spacing w:line="288" w:lineRule="auto"/>
        <w:textAlignment w:val="center"/>
        <w:rPr>
          <w:rFonts w:ascii="Arial" w:hAnsi="Arial" w:cs="Arial"/>
          <w:b/>
          <w:bCs/>
          <w:color w:val="000000"/>
          <w:sz w:val="20"/>
          <w:szCs w:val="20"/>
        </w:rPr>
      </w:pPr>
      <w:r w:rsidRPr="002C1351">
        <w:rPr>
          <w:rFonts w:ascii="Arial" w:hAnsi="Arial" w:cs="Arial"/>
          <w:b/>
          <w:bCs/>
          <w:color w:val="000000"/>
          <w:sz w:val="20"/>
          <w:szCs w:val="20"/>
        </w:rPr>
        <w:t>Serum</w:t>
      </w:r>
      <w:r w:rsidRPr="002C1351">
        <w:rPr>
          <w:rFonts w:ascii="Arial" w:hAnsi="Arial" w:cs="Arial"/>
          <w:b/>
          <w:bCs/>
          <w:color w:val="000000"/>
          <w:sz w:val="20"/>
          <w:szCs w:val="20"/>
        </w:rPr>
        <w:tab/>
      </w:r>
      <w:r w:rsidRPr="002C1351">
        <w:rPr>
          <w:rFonts w:ascii="Arial" w:hAnsi="Arial" w:cs="Arial"/>
          <w:b/>
          <w:bCs/>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br/>
      </w:r>
      <w:r w:rsidRPr="002C1351">
        <w:rPr>
          <w:rFonts w:ascii="Arial" w:hAnsi="Arial" w:cs="Arial"/>
          <w:color w:val="000000"/>
          <w:w w:val="90"/>
          <w:sz w:val="20"/>
          <w:szCs w:val="20"/>
        </w:rPr>
        <w:t xml:space="preserve">The SPIFE Nexus automatically samples and dilutes the specimens. By default, the patient serum samples are diluted 1:3 (1 part serum with 2 parts 0.85% saline) for serum protein lanes, and diluted 1:5 (1 part serum with 4 parts 0.85% saline) for </w:t>
      </w:r>
      <w:proofErr w:type="spellStart"/>
      <w:r w:rsidRPr="002C1351">
        <w:rPr>
          <w:rFonts w:ascii="Arial" w:hAnsi="Arial" w:cs="Arial"/>
          <w:color w:val="000000"/>
          <w:w w:val="90"/>
          <w:sz w:val="20"/>
          <w:szCs w:val="20"/>
        </w:rPr>
        <w:t>immunofix</w:t>
      </w:r>
      <w:proofErr w:type="spellEnd"/>
      <w:r w:rsidRPr="002C1351">
        <w:rPr>
          <w:rFonts w:ascii="Arial" w:hAnsi="Arial" w:cs="Arial"/>
          <w:color w:val="000000"/>
          <w:w w:val="90"/>
          <w:sz w:val="20"/>
          <w:szCs w:val="20"/>
        </w:rPr>
        <w:t xml:space="preserve"> lanes. However, due to desired sensitivity variations, serum samples may also be diluted as follows:</w:t>
      </w:r>
      <w:r w:rsidRPr="002C1351">
        <w:rPr>
          <w:rFonts w:ascii="Arial" w:hAnsi="Arial" w:cs="Arial"/>
          <w:color w:val="000000"/>
          <w:sz w:val="20"/>
          <w:szCs w:val="20"/>
        </w:rPr>
        <w:t xml:space="preserve"> </w:t>
      </w:r>
    </w:p>
    <w:p w14:paraId="049B333B" w14:textId="77777777" w:rsidR="002C1351" w:rsidRPr="002C1351" w:rsidRDefault="002C1351" w:rsidP="002C1351">
      <w:pPr>
        <w:tabs>
          <w:tab w:val="center" w:pos="1960"/>
          <w:tab w:val="left" w:pos="21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IgG</w:t>
      </w:r>
      <w:r w:rsidRPr="002C1351">
        <w:rPr>
          <w:rFonts w:ascii="Arial" w:hAnsi="Arial" w:cs="Arial"/>
          <w:color w:val="000000"/>
          <w:sz w:val="20"/>
          <w:szCs w:val="20"/>
        </w:rPr>
        <w:tab/>
        <w:t>= 1:5 to 1:10</w:t>
      </w:r>
    </w:p>
    <w:p w14:paraId="51091B33" w14:textId="77777777" w:rsidR="002C1351" w:rsidRPr="002C1351" w:rsidRDefault="002C1351" w:rsidP="002C1351">
      <w:pPr>
        <w:tabs>
          <w:tab w:val="center" w:pos="1960"/>
          <w:tab w:val="left" w:pos="21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IgA</w:t>
      </w:r>
      <w:r w:rsidRPr="002C1351">
        <w:rPr>
          <w:rFonts w:ascii="Arial" w:hAnsi="Arial" w:cs="Arial"/>
          <w:color w:val="000000"/>
          <w:sz w:val="20"/>
          <w:szCs w:val="20"/>
        </w:rPr>
        <w:tab/>
        <w:t>= undiluted to 1:5</w:t>
      </w:r>
    </w:p>
    <w:p w14:paraId="65655947" w14:textId="77777777" w:rsidR="002C1351" w:rsidRPr="002C1351" w:rsidRDefault="002C1351" w:rsidP="002C1351">
      <w:pPr>
        <w:tabs>
          <w:tab w:val="center" w:pos="1960"/>
          <w:tab w:val="left" w:pos="21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IgM</w:t>
      </w:r>
      <w:r w:rsidRPr="002C1351">
        <w:rPr>
          <w:rFonts w:ascii="Arial" w:hAnsi="Arial" w:cs="Arial"/>
          <w:color w:val="000000"/>
          <w:sz w:val="20"/>
          <w:szCs w:val="20"/>
        </w:rPr>
        <w:tab/>
        <w:t>= undiluted to 1:5</w:t>
      </w:r>
    </w:p>
    <w:p w14:paraId="7C1EEC41" w14:textId="77777777" w:rsidR="002C1351" w:rsidRPr="002C1351" w:rsidRDefault="002C1351" w:rsidP="002C1351">
      <w:pPr>
        <w:tabs>
          <w:tab w:val="center" w:pos="1960"/>
          <w:tab w:val="left" w:pos="21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κ</w:t>
      </w:r>
      <w:r w:rsidRPr="002C1351">
        <w:rPr>
          <w:rFonts w:ascii="Arial" w:hAnsi="Arial" w:cs="Arial"/>
          <w:color w:val="000000"/>
          <w:sz w:val="20"/>
          <w:szCs w:val="20"/>
        </w:rPr>
        <w:tab/>
        <w:t>= undiluted to 1:10</w:t>
      </w:r>
    </w:p>
    <w:p w14:paraId="495A764B" w14:textId="77777777" w:rsidR="002C1351" w:rsidRPr="002C1351" w:rsidRDefault="002C1351" w:rsidP="002C1351">
      <w:pPr>
        <w:tabs>
          <w:tab w:val="center" w:pos="1960"/>
          <w:tab w:val="left" w:pos="21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λ</w:t>
      </w:r>
      <w:r w:rsidRPr="002C1351">
        <w:rPr>
          <w:rFonts w:ascii="Arial" w:hAnsi="Arial" w:cs="Arial"/>
          <w:color w:val="000000"/>
          <w:sz w:val="20"/>
          <w:szCs w:val="20"/>
        </w:rPr>
        <w:tab/>
        <w:t>= undiluted to 1:5</w:t>
      </w:r>
    </w:p>
    <w:p w14:paraId="72CF0E1C" w14:textId="4222E861" w:rsidR="002C1351" w:rsidRPr="002C1351" w:rsidRDefault="002C1351" w:rsidP="002C1351">
      <w:pPr>
        <w:tabs>
          <w:tab w:val="left" w:pos="180"/>
          <w:tab w:val="right" w:pos="440"/>
          <w:tab w:val="left" w:pos="56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Urine</w:t>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br/>
        <w:t xml:space="preserve">Due to differences in the running parameters, urine specimens cannot be processed on the SPIFE Nexus in combination with serum samples unless urine specimens are applied using template application.  The </w:t>
      </w:r>
      <w:proofErr w:type="spellStart"/>
      <w:r w:rsidRPr="002C1351">
        <w:rPr>
          <w:rFonts w:ascii="Arial" w:hAnsi="Arial" w:cs="Arial"/>
          <w:color w:val="000000"/>
          <w:sz w:val="20"/>
          <w:szCs w:val="20"/>
        </w:rPr>
        <w:t>ImmunoFixation</w:t>
      </w:r>
      <w:proofErr w:type="spellEnd"/>
      <w:r w:rsidRPr="002C1351">
        <w:rPr>
          <w:rFonts w:ascii="Arial" w:hAnsi="Arial" w:cs="Arial"/>
          <w:color w:val="000000"/>
          <w:sz w:val="20"/>
          <w:szCs w:val="20"/>
        </w:rPr>
        <w:t xml:space="preserve"> procedure in combination with template urine application is available on the Helena website (https://www.helena.com/procedures.htm).</w:t>
      </w:r>
    </w:p>
    <w:p w14:paraId="0C5D2B28" w14:textId="77777777" w:rsidR="002C1351" w:rsidRPr="002C1351" w:rsidRDefault="002C1351" w:rsidP="002C1351">
      <w:pPr>
        <w:tabs>
          <w:tab w:val="left" w:pos="1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br/>
        <w:t>Urine samples should be concentrated if a higher sensitivity is desired.  A total protein range of 500-3,000 mg/dL is generally sufficient for optimum sensitivity.  The sensitivity is approximately 1 mg/dL for a single band.  Shake samples to homogenize. Centrifuge desired volume at 2000 x g for 5 minutes. Remove supernatant and concentrate to lab specifications per laboratory protocol.</w:t>
      </w:r>
    </w:p>
    <w:p w14:paraId="6D4D4F0E" w14:textId="77777777" w:rsidR="002C1351" w:rsidRPr="002C1351" w:rsidRDefault="002C1351" w:rsidP="002C1351">
      <w:pPr>
        <w:tabs>
          <w:tab w:val="left" w:pos="1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pacing w:val="6"/>
          <w:sz w:val="20"/>
          <w:szCs w:val="20"/>
        </w:rPr>
        <w:tab/>
      </w:r>
      <w:r w:rsidRPr="002C1351">
        <w:rPr>
          <w:rFonts w:ascii="Arial" w:hAnsi="Arial" w:cs="Arial"/>
          <w:color w:val="000000"/>
          <w:spacing w:val="6"/>
          <w:sz w:val="20"/>
          <w:szCs w:val="20"/>
        </w:rPr>
        <w:br/>
        <w:t>The SPIFE Nexus automatically samples and dilutes the specimens as follows:</w:t>
      </w:r>
      <w:r w:rsidRPr="002C1351">
        <w:rPr>
          <w:rFonts w:ascii="Arial" w:hAnsi="Arial" w:cs="Arial"/>
          <w:color w:val="000000"/>
          <w:sz w:val="20"/>
          <w:szCs w:val="20"/>
        </w:rPr>
        <w:t xml:space="preserve"> </w:t>
      </w:r>
    </w:p>
    <w:p w14:paraId="49DECEC3"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SP</w:t>
      </w:r>
      <w:r w:rsidRPr="002C1351">
        <w:rPr>
          <w:rFonts w:ascii="Arial" w:hAnsi="Arial" w:cs="Arial"/>
          <w:color w:val="000000"/>
          <w:sz w:val="20"/>
          <w:szCs w:val="20"/>
        </w:rPr>
        <w:tab/>
        <w:t>= Neat</w:t>
      </w:r>
    </w:p>
    <w:p w14:paraId="03AEE04A"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IgG</w:t>
      </w:r>
      <w:r w:rsidRPr="002C1351">
        <w:rPr>
          <w:rFonts w:ascii="Arial" w:hAnsi="Arial" w:cs="Arial"/>
          <w:color w:val="000000"/>
          <w:sz w:val="20"/>
          <w:szCs w:val="20"/>
        </w:rPr>
        <w:tab/>
        <w:t>= Neat</w:t>
      </w:r>
    </w:p>
    <w:p w14:paraId="66DF3B5D"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IgA</w:t>
      </w:r>
      <w:r w:rsidRPr="002C1351">
        <w:rPr>
          <w:rFonts w:ascii="Arial" w:hAnsi="Arial" w:cs="Arial"/>
          <w:color w:val="000000"/>
          <w:sz w:val="20"/>
          <w:szCs w:val="20"/>
        </w:rPr>
        <w:tab/>
        <w:t>= Neat</w:t>
      </w:r>
    </w:p>
    <w:p w14:paraId="1CF55FBD"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IgM</w:t>
      </w:r>
      <w:r w:rsidRPr="002C1351">
        <w:rPr>
          <w:rFonts w:ascii="Arial" w:hAnsi="Arial" w:cs="Arial"/>
          <w:color w:val="000000"/>
          <w:sz w:val="20"/>
          <w:szCs w:val="20"/>
        </w:rPr>
        <w:tab/>
        <w:t>= Neat</w:t>
      </w:r>
    </w:p>
    <w:p w14:paraId="0C66A04B"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κ</w:t>
      </w:r>
      <w:r w:rsidRPr="002C1351">
        <w:rPr>
          <w:rFonts w:ascii="Arial" w:hAnsi="Arial" w:cs="Arial"/>
          <w:color w:val="000000"/>
          <w:sz w:val="20"/>
          <w:szCs w:val="20"/>
        </w:rPr>
        <w:tab/>
        <w:t>= Neat</w:t>
      </w:r>
    </w:p>
    <w:p w14:paraId="58200D6D" w14:textId="77777777" w:rsidR="002C1351" w:rsidRPr="002C1351" w:rsidRDefault="002C1351" w:rsidP="002C1351">
      <w:pPr>
        <w:tabs>
          <w:tab w:val="center" w:pos="2080"/>
          <w:tab w:val="left" w:pos="2280"/>
        </w:tabs>
        <w:autoSpaceDE w:val="0"/>
        <w:autoSpaceDN w:val="0"/>
        <w:adjustRightInd w:val="0"/>
        <w:spacing w:line="288" w:lineRule="auto"/>
        <w:textAlignment w:val="center"/>
        <w:rPr>
          <w:rFonts w:ascii="Arial" w:hAnsi="Arial" w:cs="Arial"/>
          <w:color w:val="000000"/>
          <w:sz w:val="20"/>
          <w:szCs w:val="20"/>
        </w:rPr>
      </w:pPr>
      <w:r w:rsidRPr="002C1351">
        <w:rPr>
          <w:rFonts w:ascii="Arial" w:hAnsi="Arial" w:cs="Arial"/>
          <w:color w:val="000000"/>
          <w:sz w:val="20"/>
          <w:szCs w:val="20"/>
        </w:rPr>
        <w:tab/>
        <w:t>λ</w:t>
      </w:r>
      <w:r w:rsidRPr="002C1351">
        <w:rPr>
          <w:rFonts w:ascii="Arial" w:hAnsi="Arial" w:cs="Arial"/>
          <w:color w:val="000000"/>
          <w:sz w:val="20"/>
          <w:szCs w:val="20"/>
        </w:rPr>
        <w:tab/>
        <w:t>= Neat</w:t>
      </w:r>
    </w:p>
    <w:p w14:paraId="60AFE091"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before="47" w:line="288" w:lineRule="auto"/>
        <w:jc w:val="both"/>
        <w:textAlignment w:val="center"/>
        <w:rPr>
          <w:rFonts w:ascii="Arial" w:hAnsi="Arial" w:cs="Arial"/>
          <w:color w:val="000000"/>
          <w:sz w:val="20"/>
          <w:szCs w:val="20"/>
        </w:rPr>
      </w:pPr>
      <w:r w:rsidRPr="002C1351">
        <w:rPr>
          <w:rFonts w:ascii="Arial" w:hAnsi="Arial" w:cs="Arial"/>
          <w:color w:val="000000"/>
          <w:spacing w:val="4"/>
          <w:sz w:val="20"/>
          <w:szCs w:val="20"/>
        </w:rPr>
        <w:t xml:space="preserve">For urine specimen volumes measuring less than 500 </w:t>
      </w:r>
      <w:proofErr w:type="spellStart"/>
      <w:r w:rsidRPr="002C1351">
        <w:rPr>
          <w:rFonts w:ascii="Arial" w:hAnsi="Arial" w:cs="Arial"/>
          <w:color w:val="000000"/>
          <w:spacing w:val="4"/>
          <w:sz w:val="20"/>
          <w:szCs w:val="20"/>
        </w:rPr>
        <w:t>uL</w:t>
      </w:r>
      <w:proofErr w:type="spellEnd"/>
      <w:r w:rsidRPr="002C1351">
        <w:rPr>
          <w:rFonts w:ascii="Arial" w:hAnsi="Arial" w:cs="Arial"/>
          <w:color w:val="000000"/>
          <w:spacing w:val="4"/>
          <w:sz w:val="20"/>
          <w:szCs w:val="20"/>
        </w:rPr>
        <w:t xml:space="preserve"> contact Technical Services for instructions on manual loading.</w:t>
      </w:r>
      <w:r w:rsidRPr="002C1351">
        <w:rPr>
          <w:rFonts w:ascii="Arial" w:hAnsi="Arial" w:cs="Arial"/>
          <w:color w:val="000000"/>
          <w:sz w:val="20"/>
          <w:szCs w:val="20"/>
        </w:rPr>
        <w:t xml:space="preserve"> </w:t>
      </w:r>
    </w:p>
    <w:p w14:paraId="56470FF0"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before="47" w:line="288" w:lineRule="auto"/>
        <w:textAlignment w:val="center"/>
        <w:rPr>
          <w:rFonts w:ascii="Arial" w:hAnsi="Arial" w:cs="Arial"/>
          <w:b/>
          <w:bCs/>
          <w:color w:val="000000"/>
          <w:sz w:val="20"/>
          <w:szCs w:val="20"/>
        </w:rPr>
      </w:pPr>
      <w:r w:rsidRPr="002C1351">
        <w:rPr>
          <w:rFonts w:ascii="Arial" w:hAnsi="Arial" w:cs="Arial"/>
          <w:color w:val="000000"/>
          <w:sz w:val="20"/>
          <w:szCs w:val="20"/>
        </w:rPr>
        <w:tab/>
      </w:r>
      <w:r w:rsidRPr="002C1351">
        <w:rPr>
          <w:rFonts w:ascii="Arial" w:hAnsi="Arial" w:cs="Arial"/>
          <w:b/>
          <w:bCs/>
          <w:color w:val="000000"/>
          <w:sz w:val="20"/>
          <w:szCs w:val="20"/>
        </w:rPr>
        <w:t xml:space="preserve">II. </w:t>
      </w:r>
      <w:r w:rsidRPr="002C1351">
        <w:rPr>
          <w:rFonts w:ascii="Arial" w:hAnsi="Arial" w:cs="Arial"/>
          <w:b/>
          <w:bCs/>
          <w:color w:val="000000"/>
          <w:sz w:val="20"/>
          <w:szCs w:val="20"/>
        </w:rPr>
        <w:tab/>
        <w:t xml:space="preserve">SPIFE Nexus Preparation </w:t>
      </w:r>
    </w:p>
    <w:p w14:paraId="7F3B4E4A" w14:textId="5039AEF9" w:rsidR="002C1351" w:rsidRPr="002C1351" w:rsidRDefault="002C1351" w:rsidP="002C1351">
      <w:pPr>
        <w:tabs>
          <w:tab w:val="left" w:pos="22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ab/>
      </w:r>
      <w:r w:rsidRPr="002C1351">
        <w:rPr>
          <w:rFonts w:ascii="Arial" w:hAnsi="Arial" w:cs="Arial"/>
          <w:color w:val="000000"/>
          <w:sz w:val="20"/>
          <w:szCs w:val="20"/>
        </w:rPr>
        <w:t xml:space="preserve">A. Fill the designated bottles with 0.85% saline, deionized water, </w:t>
      </w:r>
      <w:proofErr w:type="spellStart"/>
      <w:r w:rsidRPr="002C1351">
        <w:rPr>
          <w:rFonts w:ascii="Arial" w:hAnsi="Arial" w:cs="Arial"/>
          <w:color w:val="000000"/>
          <w:sz w:val="20"/>
          <w:szCs w:val="20"/>
        </w:rPr>
        <w:t>destain</w:t>
      </w:r>
      <w:proofErr w:type="spellEnd"/>
      <w:r w:rsidRPr="002C1351">
        <w:rPr>
          <w:rFonts w:ascii="Arial" w:hAnsi="Arial" w:cs="Arial"/>
          <w:color w:val="000000"/>
          <w:sz w:val="20"/>
          <w:szCs w:val="20"/>
        </w:rPr>
        <w:t xml:space="preserve"> and Clear Wash Solution. </w:t>
      </w:r>
    </w:p>
    <w:p w14:paraId="21376080" w14:textId="4FFA6936" w:rsidR="002C1351" w:rsidRPr="002C1351" w:rsidRDefault="002C1351" w:rsidP="002C1351">
      <w:pPr>
        <w:tabs>
          <w:tab w:val="left" w:pos="22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B. Turn on the SPIFE Nexus. Click on the SPIFE Nexus icon to initialize it.</w:t>
      </w:r>
    </w:p>
    <w:p w14:paraId="647DCC77" w14:textId="54A325E4" w:rsidR="002C1351" w:rsidRPr="002C1351" w:rsidRDefault="002C1351" w:rsidP="002C1351">
      <w:pPr>
        <w:tabs>
          <w:tab w:val="left" w:pos="22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C. If this is the first test of the day, prime the instrument according to the instructions in the SPIFE Nexus Operator’s Manual.</w:t>
      </w:r>
    </w:p>
    <w:p w14:paraId="4919D363" w14:textId="11F17D8A"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u w:val="thick" w:color="00000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pacing w:val="-3"/>
          <w:sz w:val="20"/>
          <w:szCs w:val="20"/>
        </w:rPr>
        <w:t>D. Load the correct number of uncapped patient sample test tubes into test tube racks and place racks within the tube transport area.</w:t>
      </w:r>
    </w:p>
    <w:p w14:paraId="7ECF54DA" w14:textId="0CBF9DA9" w:rsidR="002C1351" w:rsidRPr="002C1351" w:rsidRDefault="002C1351" w:rsidP="002C1351">
      <w:pPr>
        <w:tabs>
          <w:tab w:val="left" w:pos="22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E. Open the main door of the instrument and prepare the items onboard the instrument.</w:t>
      </w:r>
    </w:p>
    <w:p w14:paraId="72F731DE" w14:textId="2E100562"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1.</w:t>
      </w:r>
      <w:r w:rsidRPr="002C1351">
        <w:rPr>
          <w:rFonts w:ascii="Arial" w:hAnsi="Arial" w:cs="Arial"/>
          <w:color w:val="000000"/>
          <w:sz w:val="20"/>
          <w:szCs w:val="20"/>
        </w:rPr>
        <w:t xml:space="preserve"> Ensure that each of the following items are in their respective onboard storage locations: </w:t>
      </w:r>
      <w:r w:rsidRPr="002C1351">
        <w:rPr>
          <w:rFonts w:ascii="Arial" w:hAnsi="Arial" w:cs="Arial"/>
          <w:b/>
          <w:bCs/>
          <w:color w:val="000000"/>
          <w:sz w:val="20"/>
          <w:szCs w:val="20"/>
        </w:rPr>
        <w:t>Platen Cover</w:t>
      </w:r>
      <w:r w:rsidRPr="002C1351">
        <w:rPr>
          <w:rFonts w:ascii="Arial" w:hAnsi="Arial" w:cs="Arial"/>
          <w:color w:val="000000"/>
          <w:sz w:val="20"/>
          <w:szCs w:val="20"/>
        </w:rPr>
        <w:t xml:space="preserve"> with the Electrode Insert, </w:t>
      </w:r>
      <w:r w:rsidRPr="002C1351">
        <w:rPr>
          <w:rFonts w:ascii="Arial" w:hAnsi="Arial" w:cs="Arial"/>
          <w:b/>
          <w:bCs/>
          <w:color w:val="000000"/>
          <w:sz w:val="20"/>
          <w:szCs w:val="20"/>
        </w:rPr>
        <w:t>Antisera Spreader Tip</w:t>
      </w:r>
      <w:r w:rsidRPr="002C1351">
        <w:rPr>
          <w:rFonts w:ascii="Arial" w:hAnsi="Arial" w:cs="Arial"/>
          <w:color w:val="000000"/>
          <w:sz w:val="20"/>
          <w:szCs w:val="20"/>
        </w:rPr>
        <w:t xml:space="preserve">, and </w:t>
      </w:r>
      <w:r w:rsidRPr="002C1351">
        <w:rPr>
          <w:rFonts w:ascii="Arial" w:hAnsi="Arial" w:cs="Arial"/>
          <w:b/>
          <w:bCs/>
          <w:color w:val="000000"/>
          <w:sz w:val="20"/>
          <w:szCs w:val="20"/>
        </w:rPr>
        <w:t>Dryer Cover</w:t>
      </w:r>
      <w:r w:rsidRPr="002C1351">
        <w:rPr>
          <w:rFonts w:ascii="Arial" w:hAnsi="Arial" w:cs="Arial"/>
          <w:color w:val="000000"/>
          <w:sz w:val="20"/>
          <w:szCs w:val="20"/>
        </w:rPr>
        <w:t xml:space="preserve"> with the red sticker toward the back of the instrument.</w:t>
      </w:r>
    </w:p>
    <w:p w14:paraId="10410976"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2. Onboard Reagent Chiller</w:t>
      </w:r>
      <w:r w:rsidRPr="002C1351">
        <w:rPr>
          <w:rFonts w:ascii="Arial" w:hAnsi="Arial" w:cs="Arial"/>
          <w:color w:val="000000"/>
          <w:sz w:val="20"/>
          <w:szCs w:val="20"/>
        </w:rPr>
        <w:t xml:space="preserve"> </w:t>
      </w:r>
    </w:p>
    <w:p w14:paraId="2A14B86E" w14:textId="37AB41CA"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a. </w:t>
      </w:r>
      <w:r w:rsidRPr="002C1351">
        <w:rPr>
          <w:rFonts w:ascii="Arial" w:hAnsi="Arial" w:cs="Arial"/>
          <w:color w:val="000000"/>
          <w:sz w:val="20"/>
          <w:szCs w:val="20"/>
        </w:rPr>
        <w:tab/>
        <w:t>Uncap and place the Antisera and Protein Fixative into the labeled onboard Reagent Chiller positions.</w:t>
      </w:r>
    </w:p>
    <w:p w14:paraId="77F40F27" w14:textId="4007BD45"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b. </w:t>
      </w:r>
      <w:r w:rsidRPr="002C1351">
        <w:rPr>
          <w:rFonts w:ascii="Arial" w:hAnsi="Arial" w:cs="Arial"/>
          <w:color w:val="000000"/>
          <w:sz w:val="20"/>
          <w:szCs w:val="20"/>
        </w:rPr>
        <w:tab/>
        <w:t>Uncap and place the Saline Diluent into Diluent Well 1, and Pipette Wash into Diluent Well 2 of the Reagent Chiller.</w:t>
      </w:r>
    </w:p>
    <w:p w14:paraId="68F63809"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3. Sample Cup Tray</w:t>
      </w:r>
    </w:p>
    <w:p w14:paraId="48D0AEA0" w14:textId="03F4E693"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a. </w:t>
      </w:r>
      <w:r w:rsidRPr="002C1351">
        <w:rPr>
          <w:rFonts w:ascii="Arial" w:hAnsi="Arial" w:cs="Arial"/>
          <w:color w:val="000000"/>
          <w:sz w:val="20"/>
          <w:szCs w:val="20"/>
        </w:rPr>
        <w:tab/>
        <w:t xml:space="preserve">Prepare the sample cup tray with the appropriate Disposable Sample Cups. Slide the sample cups into the cup tray. </w:t>
      </w:r>
    </w:p>
    <w:p w14:paraId="08C8058C"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b. </w:t>
      </w:r>
      <w:r w:rsidRPr="002C1351">
        <w:rPr>
          <w:rFonts w:ascii="Arial" w:hAnsi="Arial" w:cs="Arial"/>
          <w:color w:val="000000"/>
          <w:sz w:val="20"/>
          <w:szCs w:val="20"/>
        </w:rPr>
        <w:tab/>
        <w:t>Place the cup tray onto the sample tray platform.</w:t>
      </w:r>
    </w:p>
    <w:p w14:paraId="7C898207"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4. Stain/Reagent Dispenser</w:t>
      </w:r>
    </w:p>
    <w:p w14:paraId="424E5342" w14:textId="653E3518"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a. </w:t>
      </w:r>
      <w:r w:rsidRPr="002C1351">
        <w:rPr>
          <w:rFonts w:ascii="Arial" w:hAnsi="Arial" w:cs="Arial"/>
          <w:color w:val="000000"/>
          <w:sz w:val="20"/>
          <w:szCs w:val="20"/>
        </w:rPr>
        <w:tab/>
        <w:t xml:space="preserve">Fill two Stain Cups each with 400 µL of SPIFE Nexus Violet stain. Place the Stain Cups in the outer two slots of the Stain/Reagent Dispenser. </w:t>
      </w:r>
      <w:r w:rsidRPr="002C1351">
        <w:rPr>
          <w:rFonts w:ascii="Arial" w:hAnsi="Arial" w:cs="Arial"/>
          <w:b/>
          <w:bCs/>
          <w:color w:val="000000"/>
          <w:sz w:val="20"/>
          <w:szCs w:val="20"/>
        </w:rPr>
        <w:t>NOTE:</w:t>
      </w:r>
      <w:r w:rsidRPr="002C1351">
        <w:rPr>
          <w:rFonts w:ascii="Arial" w:hAnsi="Arial" w:cs="Arial"/>
          <w:color w:val="000000"/>
          <w:sz w:val="20"/>
          <w:szCs w:val="20"/>
        </w:rPr>
        <w:t xml:space="preserve"> </w:t>
      </w:r>
      <w:r w:rsidRPr="002C1351">
        <w:rPr>
          <w:rFonts w:ascii="Arial" w:hAnsi="Arial" w:cs="Arial"/>
          <w:b/>
          <w:bCs/>
          <w:color w:val="000000"/>
          <w:sz w:val="20"/>
          <w:szCs w:val="20"/>
        </w:rPr>
        <w:t xml:space="preserve">Do not add stain to the middle slot. </w:t>
      </w:r>
    </w:p>
    <w:p w14:paraId="51DCE99C" w14:textId="1E87D38E"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lastRenderedPageBreak/>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b. </w:t>
      </w:r>
      <w:r w:rsidRPr="002C1351">
        <w:rPr>
          <w:rFonts w:ascii="Arial" w:hAnsi="Arial" w:cs="Arial"/>
          <w:color w:val="000000"/>
          <w:sz w:val="20"/>
          <w:szCs w:val="20"/>
        </w:rPr>
        <w:tab/>
        <w:t>Place a clean Reagent Roller bar between the hooks on the Stain/Reagent Dispenser.</w:t>
      </w:r>
    </w:p>
    <w:p w14:paraId="22FAEF53"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5. Consumables Tray</w:t>
      </w:r>
    </w:p>
    <w:p w14:paraId="0FBBFAFA"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a. </w:t>
      </w:r>
      <w:r w:rsidRPr="002C1351">
        <w:rPr>
          <w:rFonts w:ascii="Arial" w:hAnsi="Arial" w:cs="Arial"/>
          <w:color w:val="000000"/>
          <w:sz w:val="20"/>
          <w:szCs w:val="20"/>
        </w:rPr>
        <w:tab/>
        <w:t>Slide the Consumables Tray forward from its home position.</w:t>
      </w:r>
    </w:p>
    <w:p w14:paraId="399808A9"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b. </w:t>
      </w:r>
      <w:r w:rsidRPr="002C1351">
        <w:rPr>
          <w:rFonts w:ascii="Arial" w:hAnsi="Arial" w:cs="Arial"/>
          <w:color w:val="000000"/>
          <w:sz w:val="20"/>
          <w:szCs w:val="20"/>
        </w:rPr>
        <w:tab/>
        <w:t>Prepare the Applicator Holder</w:t>
      </w:r>
    </w:p>
    <w:p w14:paraId="18910BF2" w14:textId="5BCBAF66"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(1) Place an IFE-9 Applicator Template on top of the Applicator Holder. Place Applicator Blades in the designated slots corresponding to the sample cups loaded within the sample tray. </w:t>
      </w:r>
      <w:r w:rsidRPr="002C1351">
        <w:rPr>
          <w:rFonts w:ascii="Arial" w:hAnsi="Arial" w:cs="Arial"/>
          <w:b/>
          <w:bCs/>
          <w:color w:val="000000"/>
          <w:sz w:val="20"/>
          <w:szCs w:val="20"/>
        </w:rPr>
        <w:t>NOTE: The Applicator Blades will only fit into the slots in the Applicator Holder one way; do not try to force the Applicator Blades into the slots.</w:t>
      </w:r>
      <w:r w:rsidRPr="002C1351">
        <w:rPr>
          <w:rFonts w:ascii="Arial" w:hAnsi="Arial" w:cs="Arial"/>
          <w:color w:val="000000"/>
          <w:sz w:val="20"/>
          <w:szCs w:val="20"/>
        </w:rPr>
        <w:t xml:space="preserve">  </w:t>
      </w:r>
    </w:p>
    <w:p w14:paraId="0F840082" w14:textId="3014BA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(2) Place the Applicator Blade Weights on top of the Applicator Blades with the thick side facing the front of the instrument.</w:t>
      </w:r>
    </w:p>
    <w:p w14:paraId="56143A8A"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c. </w:t>
      </w:r>
      <w:r w:rsidRPr="002C1351">
        <w:rPr>
          <w:rFonts w:ascii="Arial" w:hAnsi="Arial" w:cs="Arial"/>
          <w:color w:val="000000"/>
          <w:sz w:val="20"/>
          <w:szCs w:val="20"/>
        </w:rPr>
        <w:tab/>
        <w:t>Prepare the Blotter Holder</w:t>
      </w:r>
    </w:p>
    <w:p w14:paraId="6116ACA1" w14:textId="26423BFA"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(1) Flip the Blotter Holder upside down so the foam surface is upright and place the Blotter Guide around the foam to assist in blotter placement.  Locate the double-sided tape on the SPIFE Nexus Blotter D and remove the adhesive backing. Adhere the blotter to the foam surface of the Blotter Holder. Remove the Blotter Guide and place the Blotter Holder back in the designated location within the Consumables Tray with the green dot facing toward the front of the instrument.</w:t>
      </w:r>
    </w:p>
    <w:p w14:paraId="3DE976ED" w14:textId="5603AA01"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d. </w:t>
      </w:r>
      <w:r w:rsidRPr="002C1351">
        <w:rPr>
          <w:rFonts w:ascii="Arial" w:hAnsi="Arial" w:cs="Arial"/>
          <w:color w:val="000000"/>
          <w:sz w:val="20"/>
          <w:szCs w:val="20"/>
        </w:rPr>
        <w:tab/>
        <w:t xml:space="preserve">Slide the Consumables Tray into position in the back of the instrument. </w:t>
      </w:r>
      <w:r w:rsidRPr="002C1351">
        <w:rPr>
          <w:rFonts w:ascii="Arial" w:hAnsi="Arial" w:cs="Arial"/>
          <w:b/>
          <w:bCs/>
          <w:caps/>
          <w:color w:val="000000"/>
          <w:sz w:val="20"/>
          <w:szCs w:val="20"/>
        </w:rPr>
        <w:t>Note</w:t>
      </w:r>
      <w:r w:rsidRPr="002C1351">
        <w:rPr>
          <w:rFonts w:ascii="Arial" w:hAnsi="Arial" w:cs="Arial"/>
          <w:b/>
          <w:bCs/>
          <w:color w:val="000000"/>
          <w:sz w:val="20"/>
          <w:szCs w:val="20"/>
        </w:rPr>
        <w:t>: Do not store extra components or consumables in the Consumables Tray during a test.</w:t>
      </w:r>
    </w:p>
    <w:p w14:paraId="40844527"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b/>
          <w:bCs/>
          <w:color w:val="000000"/>
          <w:sz w:val="20"/>
          <w:szCs w:val="20"/>
        </w:rPr>
        <w:t>6. Gel Cassette</w:t>
      </w:r>
    </w:p>
    <w:p w14:paraId="2D5DC7F4" w14:textId="1D20774E"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a. </w:t>
      </w:r>
      <w:r w:rsidRPr="002C1351">
        <w:rPr>
          <w:rFonts w:ascii="Arial" w:hAnsi="Arial" w:cs="Arial"/>
          <w:color w:val="000000"/>
          <w:sz w:val="20"/>
          <w:szCs w:val="20"/>
        </w:rPr>
        <w:tab/>
        <w:t>Place the bottom half of the Gel Cassette on the electrophoresis platen with the two pins lined up on the left side.</w:t>
      </w:r>
    </w:p>
    <w:p w14:paraId="01CCACDE"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b. </w:t>
      </w:r>
      <w:r w:rsidRPr="002C1351">
        <w:rPr>
          <w:rFonts w:ascii="Arial" w:hAnsi="Arial" w:cs="Arial"/>
          <w:color w:val="000000"/>
          <w:sz w:val="20"/>
          <w:szCs w:val="20"/>
        </w:rPr>
        <w:tab/>
        <w:t>Dispense 2 mL of REP Prep on the platen.</w:t>
      </w:r>
    </w:p>
    <w:p w14:paraId="2410703B" w14:textId="018DA51C"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c. </w:t>
      </w:r>
      <w:r w:rsidRPr="002C1351">
        <w:rPr>
          <w:rFonts w:ascii="Arial" w:hAnsi="Arial" w:cs="Arial"/>
          <w:color w:val="000000"/>
          <w:sz w:val="20"/>
          <w:szCs w:val="20"/>
        </w:rPr>
        <w:tab/>
        <w:t xml:space="preserve">Remove the gel from the protective packaging and discard the overlay. </w:t>
      </w:r>
    </w:p>
    <w:p w14:paraId="25AE4807" w14:textId="3203D85F"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d. </w:t>
      </w:r>
      <w:r w:rsidRPr="002C1351">
        <w:rPr>
          <w:rFonts w:ascii="Arial" w:hAnsi="Arial" w:cs="Arial"/>
          <w:color w:val="000000"/>
          <w:sz w:val="20"/>
          <w:szCs w:val="20"/>
        </w:rPr>
        <w:tab/>
        <w:t>Using a SPIFE Blotter C, gently blot the entire gel. Discard the blotter.</w:t>
      </w:r>
    </w:p>
    <w:p w14:paraId="2A0DEEB0" w14:textId="58908D01"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e. </w:t>
      </w:r>
      <w:r w:rsidRPr="002C1351">
        <w:rPr>
          <w:rFonts w:ascii="Arial" w:hAnsi="Arial" w:cs="Arial"/>
          <w:color w:val="000000"/>
          <w:sz w:val="20"/>
          <w:szCs w:val="20"/>
        </w:rPr>
        <w:tab/>
        <w:t xml:space="preserve">Place the left edge of the gel into the bottom of the cassette fitting the round hole over the upper pin and the obround hole over the lower pin. Gently lay the gel down over the REP Prep making sure no bubbles remain under the gel. </w:t>
      </w:r>
    </w:p>
    <w:p w14:paraId="738AADFA" w14:textId="3C7E3232"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f. </w:t>
      </w:r>
      <w:r w:rsidRPr="002C1351">
        <w:rPr>
          <w:rFonts w:ascii="Arial" w:hAnsi="Arial" w:cs="Arial"/>
          <w:color w:val="000000"/>
          <w:sz w:val="20"/>
          <w:szCs w:val="20"/>
        </w:rPr>
        <w:tab/>
        <w:t xml:space="preserve">Place the top half of the Gel Cassette over the gel. Make sure the 2D barcode is located in the upper right corner of the cassette.  </w:t>
      </w:r>
    </w:p>
    <w:p w14:paraId="2A413A12" w14:textId="50588D9E"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r>
      <w:r w:rsidRPr="002C1351">
        <w:rPr>
          <w:rFonts w:ascii="Arial" w:hAnsi="Arial" w:cs="Arial"/>
          <w:color w:val="000000"/>
          <w:sz w:val="20"/>
          <w:szCs w:val="20"/>
        </w:rPr>
        <w:tab/>
        <w:t xml:space="preserve">g. </w:t>
      </w:r>
      <w:r w:rsidRPr="002C1351">
        <w:rPr>
          <w:rFonts w:ascii="Arial" w:hAnsi="Arial" w:cs="Arial"/>
          <w:color w:val="000000"/>
          <w:sz w:val="20"/>
          <w:szCs w:val="20"/>
        </w:rPr>
        <w:tab/>
        <w:t xml:space="preserve">Place a Positive ID Barcode Label on the upper </w:t>
      </w:r>
      <w:proofErr w:type="gramStart"/>
      <w:r w:rsidRPr="002C1351">
        <w:rPr>
          <w:rFonts w:ascii="Arial" w:hAnsi="Arial" w:cs="Arial"/>
          <w:color w:val="000000"/>
          <w:sz w:val="20"/>
          <w:szCs w:val="20"/>
        </w:rPr>
        <w:t>right hand</w:t>
      </w:r>
      <w:proofErr w:type="gramEnd"/>
      <w:r w:rsidRPr="002C1351">
        <w:rPr>
          <w:rFonts w:ascii="Arial" w:hAnsi="Arial" w:cs="Arial"/>
          <w:color w:val="000000"/>
          <w:sz w:val="20"/>
          <w:szCs w:val="20"/>
        </w:rPr>
        <w:t xml:space="preserve"> side of the gel backing. Select the barcode that starts with the letter “G”.</w:t>
      </w:r>
    </w:p>
    <w:p w14:paraId="235D8DE5" w14:textId="77777777" w:rsidR="002C1351" w:rsidRPr="002C1351" w:rsidRDefault="002C1351" w:rsidP="002C1351">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r>
      <w:r w:rsidRPr="002C1351">
        <w:rPr>
          <w:rFonts w:ascii="Arial" w:hAnsi="Arial" w:cs="Arial"/>
          <w:color w:val="000000"/>
          <w:sz w:val="20"/>
          <w:szCs w:val="20"/>
        </w:rPr>
        <w:tab/>
        <w:t>F. Close the main door of the instrument.</w:t>
      </w:r>
    </w:p>
    <w:p w14:paraId="57195D5C" w14:textId="77777777" w:rsidR="002C1351" w:rsidRPr="002C1351" w:rsidRDefault="002C1351" w:rsidP="002C1351">
      <w:pPr>
        <w:tabs>
          <w:tab w:val="right" w:pos="160"/>
        </w:tabs>
        <w:autoSpaceDE w:val="0"/>
        <w:autoSpaceDN w:val="0"/>
        <w:adjustRightInd w:val="0"/>
        <w:spacing w:line="288" w:lineRule="auto"/>
        <w:jc w:val="both"/>
        <w:textAlignment w:val="center"/>
        <w:rPr>
          <w:rFonts w:ascii="Arial" w:hAnsi="Arial" w:cs="Arial"/>
          <w:color w:val="000000"/>
          <w:spacing w:val="-2"/>
          <w:sz w:val="20"/>
          <w:szCs w:val="20"/>
        </w:rPr>
      </w:pPr>
      <w:r w:rsidRPr="002C1351">
        <w:rPr>
          <w:rFonts w:ascii="Arial" w:hAnsi="Arial" w:cs="Arial"/>
          <w:b/>
          <w:bCs/>
          <w:color w:val="000000"/>
          <w:sz w:val="20"/>
          <w:szCs w:val="20"/>
        </w:rPr>
        <w:tab/>
        <w:t>III. Automated Gel Electrophoresis</w:t>
      </w:r>
    </w:p>
    <w:p w14:paraId="031F8418" w14:textId="703DBDFD" w:rsidR="002C1351" w:rsidRPr="002C1351" w:rsidRDefault="002C1351" w:rsidP="002C1351">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20"/>
          <w:szCs w:val="20"/>
        </w:rPr>
      </w:pPr>
      <w:r w:rsidRPr="002C1351">
        <w:rPr>
          <w:rFonts w:ascii="Arial" w:hAnsi="Arial" w:cs="Arial"/>
          <w:color w:val="000000"/>
          <w:spacing w:val="-2"/>
          <w:sz w:val="20"/>
          <w:szCs w:val="20"/>
        </w:rPr>
        <w:tab/>
        <w:t xml:space="preserve">A. Click the Start button on the menu bar. Select the </w:t>
      </w:r>
      <w:r w:rsidRPr="002C1351">
        <w:rPr>
          <w:rFonts w:ascii="Arial" w:hAnsi="Arial" w:cs="Arial"/>
          <w:b/>
          <w:bCs/>
          <w:color w:val="000000"/>
          <w:spacing w:val="-2"/>
          <w:sz w:val="20"/>
          <w:szCs w:val="20"/>
        </w:rPr>
        <w:t xml:space="preserve">Serum Immunofixation (IFE) 9 (Acid Violet) </w:t>
      </w:r>
      <w:r w:rsidRPr="002C1351">
        <w:rPr>
          <w:rFonts w:ascii="Arial" w:hAnsi="Arial" w:cs="Arial"/>
          <w:color w:val="000000"/>
          <w:spacing w:val="-2"/>
          <w:sz w:val="20"/>
          <w:szCs w:val="20"/>
        </w:rPr>
        <w:t>or</w:t>
      </w:r>
      <w:r w:rsidRPr="002C1351">
        <w:rPr>
          <w:rFonts w:ascii="Arial" w:hAnsi="Arial" w:cs="Arial"/>
          <w:b/>
          <w:bCs/>
          <w:color w:val="000000"/>
          <w:spacing w:val="-2"/>
          <w:sz w:val="20"/>
          <w:szCs w:val="20"/>
        </w:rPr>
        <w:t xml:space="preserve"> </w:t>
      </w:r>
      <w:r w:rsidRPr="002C1351">
        <w:rPr>
          <w:rFonts w:ascii="Arial" w:hAnsi="Arial" w:cs="Arial"/>
          <w:b/>
          <w:bCs/>
          <w:color w:val="000000"/>
          <w:sz w:val="20"/>
          <w:szCs w:val="20"/>
        </w:rPr>
        <w:t>Urine Immunofixation (IFE) 9 (Acid Violet)</w:t>
      </w:r>
      <w:r w:rsidRPr="002C1351">
        <w:rPr>
          <w:rFonts w:ascii="Arial" w:hAnsi="Arial" w:cs="Arial"/>
          <w:b/>
          <w:bCs/>
          <w:color w:val="000000"/>
          <w:spacing w:val="-2"/>
          <w:sz w:val="20"/>
          <w:szCs w:val="20"/>
        </w:rPr>
        <w:t xml:space="preserve"> </w:t>
      </w:r>
      <w:r w:rsidRPr="002C1351">
        <w:rPr>
          <w:rFonts w:ascii="Arial" w:hAnsi="Arial" w:cs="Arial"/>
          <w:color w:val="000000"/>
          <w:spacing w:val="-2"/>
          <w:sz w:val="20"/>
          <w:szCs w:val="20"/>
        </w:rPr>
        <w:t>test name</w:t>
      </w:r>
      <w:r w:rsidRPr="002C1351">
        <w:rPr>
          <w:rFonts w:ascii="Arial" w:hAnsi="Arial" w:cs="Arial"/>
          <w:b/>
          <w:bCs/>
          <w:color w:val="000000"/>
          <w:spacing w:val="-2"/>
          <w:sz w:val="20"/>
          <w:szCs w:val="20"/>
        </w:rPr>
        <w:t xml:space="preserve"> </w:t>
      </w:r>
      <w:r w:rsidRPr="002C1351">
        <w:rPr>
          <w:rFonts w:ascii="Arial" w:hAnsi="Arial" w:cs="Arial"/>
          <w:color w:val="000000"/>
          <w:spacing w:val="-2"/>
          <w:sz w:val="20"/>
          <w:szCs w:val="20"/>
        </w:rPr>
        <w:t xml:space="preserve">from the </w:t>
      </w:r>
      <w:proofErr w:type="gramStart"/>
      <w:r w:rsidRPr="002C1351">
        <w:rPr>
          <w:rFonts w:ascii="Arial" w:hAnsi="Arial" w:cs="Arial"/>
          <w:color w:val="000000"/>
          <w:spacing w:val="-2"/>
          <w:sz w:val="20"/>
          <w:szCs w:val="20"/>
        </w:rPr>
        <w:t>drop down</w:t>
      </w:r>
      <w:proofErr w:type="gramEnd"/>
      <w:r w:rsidRPr="002C1351">
        <w:rPr>
          <w:rFonts w:ascii="Arial" w:hAnsi="Arial" w:cs="Arial"/>
          <w:color w:val="000000"/>
          <w:spacing w:val="-2"/>
          <w:sz w:val="20"/>
          <w:szCs w:val="20"/>
        </w:rPr>
        <w:t xml:space="preserve"> menu. Ensure the toggles for all Run Processes are set to “Yes” and click the Start Run button. The analyzer will load samples when appropriate, apply samples, electrophorese, </w:t>
      </w:r>
      <w:proofErr w:type="spellStart"/>
      <w:r w:rsidRPr="002C1351">
        <w:rPr>
          <w:rFonts w:ascii="Arial" w:hAnsi="Arial" w:cs="Arial"/>
          <w:color w:val="000000"/>
          <w:spacing w:val="-2"/>
          <w:sz w:val="20"/>
          <w:szCs w:val="20"/>
        </w:rPr>
        <w:t>immunofix</w:t>
      </w:r>
      <w:proofErr w:type="spellEnd"/>
      <w:r w:rsidRPr="002C1351">
        <w:rPr>
          <w:rFonts w:ascii="Arial" w:hAnsi="Arial" w:cs="Arial"/>
          <w:color w:val="000000"/>
          <w:spacing w:val="-2"/>
          <w:sz w:val="20"/>
          <w:szCs w:val="20"/>
        </w:rPr>
        <w:t xml:space="preserve">, wash, stain, </w:t>
      </w:r>
      <w:proofErr w:type="spellStart"/>
      <w:r w:rsidRPr="002C1351">
        <w:rPr>
          <w:rFonts w:ascii="Arial" w:hAnsi="Arial" w:cs="Arial"/>
          <w:color w:val="000000"/>
          <w:spacing w:val="-2"/>
          <w:sz w:val="20"/>
          <w:szCs w:val="20"/>
        </w:rPr>
        <w:t>destain</w:t>
      </w:r>
      <w:proofErr w:type="spellEnd"/>
      <w:r w:rsidRPr="002C1351">
        <w:rPr>
          <w:rFonts w:ascii="Arial" w:hAnsi="Arial" w:cs="Arial"/>
          <w:color w:val="000000"/>
          <w:spacing w:val="-2"/>
          <w:sz w:val="20"/>
          <w:szCs w:val="20"/>
        </w:rPr>
        <w:t xml:space="preserve">, dry and scan the gel. </w:t>
      </w:r>
      <w:r w:rsidRPr="002C1351">
        <w:rPr>
          <w:rFonts w:ascii="Arial" w:hAnsi="Arial" w:cs="Arial"/>
          <w:b/>
          <w:bCs/>
          <w:color w:val="000000"/>
          <w:spacing w:val="4"/>
          <w:sz w:val="20"/>
          <w:szCs w:val="20"/>
        </w:rPr>
        <w:t>For details of Automated Gel Electrophoresis parameters, contact Technical Services.</w:t>
      </w:r>
    </w:p>
    <w:p w14:paraId="6B1B2EE2" w14:textId="0BAE79B7" w:rsidR="002C1351" w:rsidRPr="002C1351" w:rsidRDefault="002C1351" w:rsidP="002C1351">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20"/>
          <w:szCs w:val="20"/>
        </w:rPr>
      </w:pPr>
      <w:r w:rsidRPr="002C1351">
        <w:rPr>
          <w:rFonts w:ascii="Arial" w:hAnsi="Arial" w:cs="Arial"/>
          <w:color w:val="000000"/>
          <w:spacing w:val="-2"/>
          <w:sz w:val="20"/>
          <w:szCs w:val="20"/>
        </w:rPr>
        <w:tab/>
        <w:t xml:space="preserve">B. After scanning, the Gel Cassette with the finished gel will be located in the scanner port of the front side of the instrument. If gel storage is required, remove and discard the two gel blocks. </w:t>
      </w:r>
    </w:p>
    <w:p w14:paraId="0CE28DB7" w14:textId="3F801D0C" w:rsidR="002C1351" w:rsidRPr="002C1351" w:rsidRDefault="002C1351" w:rsidP="002C1351">
      <w:pPr>
        <w:tabs>
          <w:tab w:val="left" w:pos="240"/>
          <w:tab w:val="left" w:pos="480"/>
          <w:tab w:val="left" w:pos="720"/>
        </w:tabs>
        <w:autoSpaceDE w:val="0"/>
        <w:autoSpaceDN w:val="0"/>
        <w:adjustRightInd w:val="0"/>
        <w:spacing w:before="20" w:line="288" w:lineRule="auto"/>
        <w:jc w:val="both"/>
        <w:textAlignment w:val="center"/>
        <w:rPr>
          <w:rFonts w:ascii="Arial" w:hAnsi="Arial" w:cs="Arial"/>
          <w:b/>
          <w:bCs/>
          <w:color w:val="000000"/>
          <w:spacing w:val="-2"/>
          <w:sz w:val="20"/>
          <w:szCs w:val="20"/>
        </w:rPr>
      </w:pPr>
      <w:r w:rsidRPr="002C1351">
        <w:rPr>
          <w:rFonts w:ascii="Arial" w:hAnsi="Arial" w:cs="Arial"/>
          <w:color w:val="000000"/>
          <w:spacing w:val="-2"/>
          <w:sz w:val="20"/>
          <w:szCs w:val="20"/>
        </w:rPr>
        <w:tab/>
        <w:t xml:space="preserve">C. After every test:  discard the used blotters, Applicator Blades, Stain Cups and sample cups as biohazardous waste. Clean any residual stain from the electrophoresis platen, Gel Cassette and the Reagent Roller bar. For daily, weekly, and monthly maintenance reference the SPIFE Nexus Operator’s Manual.  </w:t>
      </w:r>
    </w:p>
    <w:p w14:paraId="6A636864"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20"/>
          <w:szCs w:val="20"/>
        </w:rPr>
      </w:pPr>
      <w:r w:rsidRPr="002C1351">
        <w:rPr>
          <w:rFonts w:ascii="Arial" w:hAnsi="Arial" w:cs="Arial"/>
          <w:b/>
          <w:bCs/>
          <w:color w:val="000000"/>
          <w:spacing w:val="-2"/>
          <w:sz w:val="20"/>
          <w:szCs w:val="20"/>
        </w:rPr>
        <w:t>Qualitative Evaluation:</w:t>
      </w:r>
      <w:r w:rsidRPr="002C1351">
        <w:rPr>
          <w:rFonts w:ascii="Arial" w:hAnsi="Arial" w:cs="Arial"/>
          <w:color w:val="000000"/>
          <w:spacing w:val="-2"/>
          <w:sz w:val="20"/>
          <w:szCs w:val="20"/>
        </w:rPr>
        <w:t xml:space="preserve"> The SPIFE IFE-9 Gel will be automatically scanned. Refer to the </w:t>
      </w:r>
      <w:proofErr w:type="spellStart"/>
      <w:r w:rsidRPr="002C1351">
        <w:rPr>
          <w:rFonts w:ascii="Arial" w:hAnsi="Arial" w:cs="Arial"/>
          <w:color w:val="000000"/>
          <w:spacing w:val="-2"/>
          <w:sz w:val="20"/>
          <w:szCs w:val="20"/>
        </w:rPr>
        <w:t>QuickScan</w:t>
      </w:r>
      <w:proofErr w:type="spellEnd"/>
      <w:r w:rsidRPr="002C1351">
        <w:rPr>
          <w:rFonts w:ascii="Arial" w:hAnsi="Arial" w:cs="Arial"/>
          <w:color w:val="000000"/>
          <w:spacing w:val="-2"/>
          <w:sz w:val="20"/>
          <w:szCs w:val="20"/>
        </w:rPr>
        <w:t xml:space="preserve"> Touch Plus Operator’s Manual for scanning parameters.</w:t>
      </w:r>
    </w:p>
    <w:p w14:paraId="02A8A60A"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20"/>
          <w:szCs w:val="20"/>
        </w:rPr>
      </w:pPr>
      <w:r w:rsidRPr="002C1351">
        <w:rPr>
          <w:rFonts w:ascii="Arial" w:hAnsi="Arial" w:cs="Arial"/>
          <w:b/>
          <w:bCs/>
          <w:color w:val="000000"/>
          <w:spacing w:val="-2"/>
          <w:sz w:val="20"/>
          <w:szCs w:val="20"/>
        </w:rPr>
        <w:t>Stability of End Product:</w:t>
      </w:r>
      <w:r w:rsidRPr="002C1351">
        <w:rPr>
          <w:rFonts w:ascii="Arial" w:hAnsi="Arial" w:cs="Arial"/>
          <w:color w:val="000000"/>
          <w:spacing w:val="-2"/>
          <w:sz w:val="20"/>
          <w:szCs w:val="20"/>
        </w:rPr>
        <w:t xml:space="preserve"> The completed, stained and dried immunofixation gel is stable for an indefinite period of time.</w:t>
      </w:r>
    </w:p>
    <w:p w14:paraId="1AF67BB7" w14:textId="77777777" w:rsidR="002C1351" w:rsidRPr="002C1351" w:rsidRDefault="002C1351" w:rsidP="002C1351">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INTERPRETATION OF RESULTS</w:t>
      </w:r>
    </w:p>
    <w:p w14:paraId="7CF4EA27"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Normal sample:</w:t>
      </w:r>
      <w:r w:rsidRPr="002C1351">
        <w:rPr>
          <w:rFonts w:ascii="Arial" w:hAnsi="Arial" w:cs="Arial"/>
          <w:color w:val="000000"/>
          <w:sz w:val="20"/>
          <w:szCs w:val="20"/>
        </w:rPr>
        <w:t xml:space="preserve"> No monoclonal present, immunofixation lanes have faint diffused stain or blush of color or variable intensity that reflects the normal distribution of immunoglobins.</w:t>
      </w:r>
    </w:p>
    <w:p w14:paraId="5AC7E6BB"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Polyclonal:</w:t>
      </w:r>
      <w:r w:rsidRPr="002C1351">
        <w:rPr>
          <w:rFonts w:ascii="Arial" w:hAnsi="Arial" w:cs="Arial"/>
          <w:color w:val="000000"/>
          <w:sz w:val="20"/>
          <w:szCs w:val="20"/>
        </w:rPr>
        <w:t xml:space="preserve"> No monoclonal present, a diffuse increase in at least one heavy chain and both light chains.</w:t>
      </w:r>
    </w:p>
    <w:p w14:paraId="41EB8AD8"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lastRenderedPageBreak/>
        <w:t>Monoclonal:</w:t>
      </w:r>
      <w:r w:rsidRPr="002C1351">
        <w:rPr>
          <w:rFonts w:ascii="Arial" w:hAnsi="Arial" w:cs="Arial"/>
          <w:color w:val="000000"/>
          <w:sz w:val="20"/>
          <w:szCs w:val="20"/>
        </w:rPr>
        <w:t xml:space="preserve"> A monoclonal protein is characterized by a well-defined restricted band in a heavy chain lane with a corresponding band in a light chain lane.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 The majority of monoclonal proteins migrate in the cathodic (gamma) region of the protein pattern. However, due to their abnormality, they may migrate anywhere within the protein electrophoresis pattern.</w:t>
      </w:r>
    </w:p>
    <w:p w14:paraId="043A646D"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color w:val="000000"/>
          <w:sz w:val="20"/>
          <w:szCs w:val="20"/>
        </w:rPr>
        <w:t>When low concentrations of M-protein are present, the immunofixation band may appear on the stained background of the polyclonal immunoglobulin. A stained background may also appear when the M-protein is present along with a large polyclonal increase.</w:t>
      </w:r>
    </w:p>
    <w:p w14:paraId="4F2B68E9"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Other:</w:t>
      </w:r>
    </w:p>
    <w:p w14:paraId="4F649F24"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Reaction with light chain antisera only could indicate either a free light chain gammopathy or (rarely) </w:t>
      </w:r>
      <w:proofErr w:type="spellStart"/>
      <w:r w:rsidRPr="002C1351">
        <w:rPr>
          <w:rFonts w:ascii="Arial" w:hAnsi="Arial" w:cs="Arial"/>
          <w:color w:val="000000"/>
          <w:sz w:val="20"/>
          <w:szCs w:val="20"/>
        </w:rPr>
        <w:t>IgD</w:t>
      </w:r>
      <w:proofErr w:type="spellEnd"/>
      <w:r w:rsidRPr="002C1351">
        <w:rPr>
          <w:rFonts w:ascii="Arial" w:hAnsi="Arial" w:cs="Arial"/>
          <w:color w:val="000000"/>
          <w:sz w:val="20"/>
          <w:szCs w:val="20"/>
        </w:rPr>
        <w:t xml:space="preserve"> or </w:t>
      </w:r>
      <w:proofErr w:type="spellStart"/>
      <w:r w:rsidRPr="002C1351">
        <w:rPr>
          <w:rFonts w:ascii="Arial" w:hAnsi="Arial" w:cs="Arial"/>
          <w:color w:val="000000"/>
          <w:sz w:val="20"/>
          <w:szCs w:val="20"/>
        </w:rPr>
        <w:t>IgE</w:t>
      </w:r>
      <w:proofErr w:type="spellEnd"/>
      <w:r w:rsidRPr="002C1351">
        <w:rPr>
          <w:rFonts w:ascii="Arial" w:hAnsi="Arial" w:cs="Arial"/>
          <w:color w:val="000000"/>
          <w:sz w:val="20"/>
          <w:szCs w:val="20"/>
        </w:rPr>
        <w:t xml:space="preserve"> gammopathy. (See Further Testing) </w:t>
      </w:r>
    </w:p>
    <w:p w14:paraId="623A0284"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color w:val="000000"/>
          <w:sz w:val="20"/>
          <w:szCs w:val="20"/>
        </w:rPr>
        <w:t>Reaction with heavy chain antisera may indicate (rarely) heavy chain disease or an atypical light chain.</w:t>
      </w:r>
      <w:r w:rsidRPr="002C1351">
        <w:rPr>
          <w:rFonts w:ascii="Arial" w:hAnsi="Arial" w:cs="Arial"/>
          <w:color w:val="000000"/>
          <w:sz w:val="20"/>
          <w:szCs w:val="20"/>
          <w:vertAlign w:val="superscript"/>
        </w:rPr>
        <w:t>3</w:t>
      </w:r>
    </w:p>
    <w:p w14:paraId="667F6502"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Multiple M- Proteins:</w:t>
      </w:r>
      <w:r w:rsidRPr="002C1351">
        <w:rPr>
          <w:rFonts w:ascii="Arial" w:hAnsi="Arial" w:cs="Arial"/>
          <w:color w:val="000000"/>
          <w:sz w:val="20"/>
          <w:szCs w:val="20"/>
        </w:rPr>
        <w:t xml:space="preserve"> On rare occasion </w:t>
      </w:r>
      <w:proofErr w:type="spellStart"/>
      <w:r w:rsidRPr="002C1351">
        <w:rPr>
          <w:rFonts w:ascii="Arial" w:hAnsi="Arial" w:cs="Arial"/>
          <w:color w:val="000000"/>
          <w:sz w:val="20"/>
          <w:szCs w:val="20"/>
        </w:rPr>
        <w:t>biclonal</w:t>
      </w:r>
      <w:proofErr w:type="spellEnd"/>
      <w:r w:rsidRPr="002C1351">
        <w:rPr>
          <w:rFonts w:ascii="Arial" w:hAnsi="Arial" w:cs="Arial"/>
          <w:color w:val="000000"/>
          <w:sz w:val="20"/>
          <w:szCs w:val="20"/>
        </w:rPr>
        <w:t xml:space="preserve"> (two M-proteins) or oligoclonal (more than two) patterns may occur.</w:t>
      </w:r>
    </w:p>
    <w:p w14:paraId="4052DC83" w14:textId="77777777" w:rsidR="002C1351" w:rsidRPr="002C1351" w:rsidRDefault="002C1351" w:rsidP="002C1351">
      <w:pPr>
        <w:tabs>
          <w:tab w:val="left" w:pos="280"/>
          <w:tab w:val="left" w:pos="480"/>
          <w:tab w:val="left" w:pos="720"/>
        </w:tabs>
        <w:suppressAutoHyphens/>
        <w:autoSpaceDE w:val="0"/>
        <w:autoSpaceDN w:val="0"/>
        <w:adjustRightInd w:val="0"/>
        <w:spacing w:before="20" w:line="288" w:lineRule="auto"/>
        <w:textAlignment w:val="center"/>
        <w:rPr>
          <w:rFonts w:ascii="Arial" w:hAnsi="Arial" w:cs="Arial"/>
          <w:color w:val="000000"/>
          <w:spacing w:val="2"/>
          <w:sz w:val="20"/>
          <w:szCs w:val="20"/>
          <w:vertAlign w:val="superscript"/>
        </w:rPr>
      </w:pPr>
      <w:r w:rsidRPr="002C1351">
        <w:rPr>
          <w:rFonts w:ascii="Arial" w:hAnsi="Arial" w:cs="Arial"/>
          <w:b/>
          <w:bCs/>
          <w:color w:val="000000"/>
          <w:spacing w:val="1"/>
          <w:sz w:val="20"/>
          <w:szCs w:val="20"/>
        </w:rPr>
        <w:t>Fc fragments -</w:t>
      </w:r>
      <w:r w:rsidRPr="002C1351">
        <w:rPr>
          <w:rFonts w:ascii="Arial" w:hAnsi="Arial" w:cs="Arial"/>
          <w:color w:val="000000"/>
          <w:spacing w:val="1"/>
          <w:sz w:val="20"/>
          <w:szCs w:val="20"/>
        </w:rPr>
        <w:t xml:space="preserve"> Proteolysis of the immunoglobulin into Fac and Fc fragments may occur either in vivo or in vitro. The Fc fragments may maintain antigen antibody specificity to a heavy chain only, usually migrate in the alpha-2 area, and appear monoclonal in nature, with no corresponding band in the light chain lane. Fab fragments react with heavy and light chain antisera and are polyclonal in appearance.</w:t>
      </w:r>
      <w:r w:rsidRPr="002C1351">
        <w:rPr>
          <w:rFonts w:ascii="Arial" w:hAnsi="Arial" w:cs="Arial"/>
          <w:color w:val="000000"/>
          <w:spacing w:val="1"/>
          <w:sz w:val="20"/>
          <w:szCs w:val="20"/>
          <w:vertAlign w:val="superscript"/>
        </w:rPr>
        <w:t xml:space="preserve">4  </w:t>
      </w:r>
      <w:r w:rsidRPr="002C1351">
        <w:rPr>
          <w:rFonts w:ascii="Arial" w:hAnsi="Arial" w:cs="Arial"/>
          <w:color w:val="000000"/>
          <w:spacing w:val="1"/>
          <w:sz w:val="20"/>
          <w:szCs w:val="20"/>
          <w:vertAlign w:val="superscript"/>
        </w:rPr>
        <w:br/>
      </w:r>
      <w:r w:rsidRPr="002C1351">
        <w:rPr>
          <w:rFonts w:ascii="Arial" w:hAnsi="Arial" w:cs="Arial"/>
          <w:b/>
          <w:bCs/>
          <w:color w:val="000000"/>
          <w:spacing w:val="1"/>
          <w:sz w:val="20"/>
          <w:szCs w:val="20"/>
        </w:rPr>
        <w:t>Restricted heterogeneity/Ladder light chains</w:t>
      </w:r>
      <w:r w:rsidRPr="002C1351">
        <w:rPr>
          <w:rFonts w:ascii="Arial" w:hAnsi="Arial" w:cs="Arial"/>
          <w:b/>
          <w:bCs/>
          <w:color w:val="000000"/>
          <w:spacing w:val="1"/>
          <w:sz w:val="20"/>
          <w:szCs w:val="20"/>
          <w:vertAlign w:val="superscript"/>
        </w:rPr>
        <w:t>5</w:t>
      </w:r>
      <w:r w:rsidRPr="002C1351">
        <w:rPr>
          <w:rFonts w:ascii="Arial" w:hAnsi="Arial" w:cs="Arial"/>
          <w:b/>
          <w:bCs/>
          <w:color w:val="000000"/>
          <w:spacing w:val="1"/>
          <w:sz w:val="20"/>
          <w:szCs w:val="20"/>
        </w:rPr>
        <w:t xml:space="preserve"> </w:t>
      </w:r>
      <w:r w:rsidRPr="002C1351">
        <w:rPr>
          <w:rFonts w:ascii="Arial" w:hAnsi="Arial" w:cs="Arial"/>
          <w:b/>
          <w:bCs/>
          <w:color w:val="000000"/>
          <w:spacing w:val="2"/>
          <w:sz w:val="20"/>
          <w:szCs w:val="20"/>
        </w:rPr>
        <w:t>-</w:t>
      </w:r>
      <w:r w:rsidRPr="002C1351">
        <w:rPr>
          <w:rFonts w:ascii="Arial" w:hAnsi="Arial" w:cs="Arial"/>
          <w:color w:val="000000"/>
          <w:spacing w:val="2"/>
          <w:sz w:val="20"/>
          <w:szCs w:val="20"/>
        </w:rPr>
        <w:t xml:space="preserve"> A pattern of multiple regularly spaced restricted bands reacting with light chain antisera may be seen in urine with a high concentration of polyclonal light chains.</w:t>
      </w:r>
      <w:r w:rsidRPr="002C1351">
        <w:rPr>
          <w:rFonts w:ascii="Arial" w:hAnsi="Arial" w:cs="Arial"/>
          <w:color w:val="000000"/>
          <w:spacing w:val="2"/>
          <w:sz w:val="20"/>
          <w:szCs w:val="20"/>
          <w:vertAlign w:val="superscript"/>
        </w:rPr>
        <w:t>6</w:t>
      </w:r>
    </w:p>
    <w:p w14:paraId="45E25ED0"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Cathodal bands -</w:t>
      </w:r>
      <w:r w:rsidRPr="002C1351">
        <w:rPr>
          <w:rFonts w:ascii="Arial" w:hAnsi="Arial" w:cs="Arial"/>
          <w:color w:val="000000"/>
          <w:sz w:val="20"/>
          <w:szCs w:val="20"/>
        </w:rPr>
        <w:t xml:space="preserve"> An extremely cathodal band present in the SP lane that does not react with antisera is consistent with lysozyme. Elevated lysozyme may be seen in monocytic and monomyelocyte leukemias.</w:t>
      </w:r>
      <w:r w:rsidRPr="002C1351">
        <w:rPr>
          <w:rFonts w:ascii="Arial" w:hAnsi="Arial" w:cs="Arial"/>
          <w:color w:val="000000"/>
          <w:sz w:val="20"/>
          <w:szCs w:val="20"/>
          <w:vertAlign w:val="superscript"/>
        </w:rPr>
        <w:t xml:space="preserve">7 </w:t>
      </w:r>
      <w:r w:rsidRPr="002C1351">
        <w:rPr>
          <w:rFonts w:ascii="Arial" w:hAnsi="Arial" w:cs="Arial"/>
          <w:color w:val="000000"/>
          <w:sz w:val="20"/>
          <w:szCs w:val="20"/>
          <w:vertAlign w:val="superscript"/>
        </w:rPr>
        <w:br/>
      </w:r>
      <w:r w:rsidRPr="002C1351">
        <w:rPr>
          <w:rFonts w:ascii="Arial" w:hAnsi="Arial" w:cs="Arial"/>
          <w:color w:val="000000"/>
          <w:sz w:val="20"/>
          <w:szCs w:val="20"/>
        </w:rPr>
        <w:t>For an in-depth discussion of IFE interpretation, call Helena Laboratories toll free and request the free publication “An Immunofixation Tutorial” Book F.</w:t>
      </w:r>
    </w:p>
    <w:p w14:paraId="185C2782" w14:textId="77777777" w:rsidR="002C1351" w:rsidRPr="002C1351" w:rsidRDefault="002C1351" w:rsidP="002C1351">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Further Testing Required</w:t>
      </w:r>
    </w:p>
    <w:p w14:paraId="226466D1" w14:textId="77777777" w:rsidR="002C1351" w:rsidRPr="002C1351" w:rsidRDefault="002C1351" w:rsidP="002C1351">
      <w:pPr>
        <w:tabs>
          <w:tab w:val="left" w:pos="280"/>
          <w:tab w:val="left" w:pos="480"/>
          <w:tab w:val="left" w:pos="72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Specimens containing a band on serum protein electrophoresis suggestive of a monoclonal protein, but which do not react with IgG, IgA or IgM antisera, may require further testing as follows:</w:t>
      </w:r>
    </w:p>
    <w:p w14:paraId="00C9296F" w14:textId="4A2DE249" w:rsidR="002C1351" w:rsidRPr="002C1351" w:rsidRDefault="002C1351" w:rsidP="002C1351">
      <w:pPr>
        <w:tabs>
          <w:tab w:val="left" w:pos="160"/>
        </w:tabs>
        <w:autoSpaceDE w:val="0"/>
        <w:autoSpaceDN w:val="0"/>
        <w:adjustRightInd w:val="0"/>
        <w:spacing w:before="47"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1. Serum samples which have a precipitin band with Kappa or Lambda Light Chain Antisera but none corresponding with IgG, IgA or IgM antisera may have a free light chain or they may have an </w:t>
      </w:r>
      <w:proofErr w:type="spellStart"/>
      <w:r w:rsidRPr="002C1351">
        <w:rPr>
          <w:rFonts w:ascii="Arial" w:hAnsi="Arial" w:cs="Arial"/>
          <w:color w:val="000000"/>
          <w:sz w:val="20"/>
          <w:szCs w:val="20"/>
        </w:rPr>
        <w:t>IgD</w:t>
      </w:r>
      <w:proofErr w:type="spellEnd"/>
      <w:r w:rsidRPr="002C1351">
        <w:rPr>
          <w:rFonts w:ascii="Arial" w:hAnsi="Arial" w:cs="Arial"/>
          <w:color w:val="000000"/>
          <w:sz w:val="20"/>
          <w:szCs w:val="20"/>
        </w:rPr>
        <w:t xml:space="preserve"> or </w:t>
      </w:r>
      <w:proofErr w:type="spellStart"/>
      <w:r w:rsidRPr="002C1351">
        <w:rPr>
          <w:rFonts w:ascii="Arial" w:hAnsi="Arial" w:cs="Arial"/>
          <w:color w:val="000000"/>
          <w:sz w:val="20"/>
          <w:szCs w:val="20"/>
        </w:rPr>
        <w:t>IgE</w:t>
      </w:r>
      <w:proofErr w:type="spellEnd"/>
      <w:r w:rsidRPr="002C1351">
        <w:rPr>
          <w:rFonts w:ascii="Arial" w:hAnsi="Arial" w:cs="Arial"/>
          <w:color w:val="000000"/>
          <w:sz w:val="20"/>
          <w:szCs w:val="20"/>
        </w:rPr>
        <w:t xml:space="preserve"> monoclonal protein. Such sera should be tested with </w:t>
      </w:r>
      <w:proofErr w:type="spellStart"/>
      <w:r w:rsidRPr="002C1351">
        <w:rPr>
          <w:rFonts w:ascii="Arial" w:hAnsi="Arial" w:cs="Arial"/>
          <w:color w:val="000000"/>
          <w:sz w:val="20"/>
          <w:szCs w:val="20"/>
        </w:rPr>
        <w:t>ImmunoFix</w:t>
      </w:r>
      <w:proofErr w:type="spellEnd"/>
      <w:r w:rsidRPr="002C1351">
        <w:rPr>
          <w:rFonts w:ascii="Arial" w:hAnsi="Arial" w:cs="Arial"/>
          <w:color w:val="000000"/>
          <w:sz w:val="20"/>
          <w:szCs w:val="20"/>
        </w:rPr>
        <w:t xml:space="preserve"> </w:t>
      </w:r>
      <w:proofErr w:type="spellStart"/>
      <w:r w:rsidRPr="002C1351">
        <w:rPr>
          <w:rFonts w:ascii="Arial" w:hAnsi="Arial" w:cs="Arial"/>
          <w:color w:val="000000"/>
          <w:sz w:val="20"/>
          <w:szCs w:val="20"/>
        </w:rPr>
        <w:t>IgD</w:t>
      </w:r>
      <w:proofErr w:type="spellEnd"/>
      <w:r w:rsidRPr="002C1351">
        <w:rPr>
          <w:rFonts w:ascii="Arial" w:hAnsi="Arial" w:cs="Arial"/>
          <w:color w:val="000000"/>
          <w:sz w:val="20"/>
          <w:szCs w:val="20"/>
        </w:rPr>
        <w:t xml:space="preserve"> and </w:t>
      </w:r>
      <w:proofErr w:type="spellStart"/>
      <w:r w:rsidRPr="002C1351">
        <w:rPr>
          <w:rFonts w:ascii="Arial" w:hAnsi="Arial" w:cs="Arial"/>
          <w:color w:val="000000"/>
          <w:sz w:val="20"/>
          <w:szCs w:val="20"/>
        </w:rPr>
        <w:t>IgE</w:t>
      </w:r>
      <w:proofErr w:type="spellEnd"/>
      <w:r w:rsidRPr="002C1351">
        <w:rPr>
          <w:rFonts w:ascii="Arial" w:hAnsi="Arial" w:cs="Arial"/>
          <w:color w:val="000000"/>
          <w:sz w:val="20"/>
          <w:szCs w:val="20"/>
        </w:rPr>
        <w:t xml:space="preserve"> antisera.</w:t>
      </w:r>
    </w:p>
    <w:p w14:paraId="40474211" w14:textId="5D4ED991" w:rsidR="002C1351" w:rsidRPr="002C1351" w:rsidRDefault="002C1351" w:rsidP="002C1351">
      <w:pPr>
        <w:tabs>
          <w:tab w:val="left" w:pos="160"/>
        </w:tabs>
        <w:autoSpaceDE w:val="0"/>
        <w:autoSpaceDN w:val="0"/>
        <w:adjustRightInd w:val="0"/>
        <w:spacing w:before="47"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2. A CRP band may be detected in patients with acute inflammatory response.</w:t>
      </w:r>
      <w:r w:rsidRPr="002C1351">
        <w:rPr>
          <w:rFonts w:ascii="Arial" w:hAnsi="Arial" w:cs="Arial"/>
          <w:color w:val="000000"/>
          <w:sz w:val="20"/>
          <w:szCs w:val="20"/>
          <w:vertAlign w:val="superscript"/>
        </w:rPr>
        <w:t xml:space="preserve">8 </w:t>
      </w:r>
      <w:r w:rsidRPr="002C1351">
        <w:rPr>
          <w:rFonts w:ascii="Arial" w:hAnsi="Arial" w:cs="Arial"/>
          <w:color w:val="000000"/>
          <w:sz w:val="20"/>
          <w:szCs w:val="20"/>
        </w:rPr>
        <w:t xml:space="preserve">CRP appears as a narrow band on the most cathodic end of the </w:t>
      </w:r>
      <w:proofErr w:type="gramStart"/>
      <w:r w:rsidRPr="002C1351">
        <w:rPr>
          <w:rFonts w:ascii="Arial" w:hAnsi="Arial" w:cs="Arial"/>
          <w:color w:val="000000"/>
          <w:sz w:val="20"/>
          <w:szCs w:val="20"/>
        </w:rPr>
        <w:t>high resolution</w:t>
      </w:r>
      <w:proofErr w:type="gramEnd"/>
      <w:r w:rsidRPr="002C1351">
        <w:rPr>
          <w:rFonts w:ascii="Arial" w:hAnsi="Arial" w:cs="Arial"/>
          <w:color w:val="000000"/>
          <w:sz w:val="20"/>
          <w:szCs w:val="20"/>
        </w:rPr>
        <w:t xml:space="preserve"> agarose protein electrophoresis pattern. Evaluated Alpha-1 Antitrypsin and haptoglobin (acute phase proteins) are supportive evidence for the presence of a CRP band. Patients with a CRP band will have a positive CRP by latex agglutination or an elevated quantitative CRP.</w:t>
      </w:r>
    </w:p>
    <w:p w14:paraId="08BE6F9B" w14:textId="77777777" w:rsidR="002C1351" w:rsidRPr="002C1351" w:rsidRDefault="002C1351" w:rsidP="002C1351">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LIMITATIONS</w:t>
      </w:r>
    </w:p>
    <w:p w14:paraId="0CCC3BB1" w14:textId="34FD81B8"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1. </w:t>
      </w:r>
      <w:r w:rsidRPr="002C1351">
        <w:rPr>
          <w:rFonts w:ascii="Arial" w:hAnsi="Arial" w:cs="Arial"/>
          <w:color w:val="000000"/>
          <w:spacing w:val="-1"/>
          <w:sz w:val="20"/>
          <w:szCs w:val="20"/>
        </w:rPr>
        <w:t>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at the margins of the band, while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w:t>
      </w:r>
      <w:r w:rsidRPr="002C1351">
        <w:rPr>
          <w:rFonts w:ascii="Arial" w:hAnsi="Arial" w:cs="Arial"/>
          <w:color w:val="000000"/>
          <w:sz w:val="20"/>
          <w:szCs w:val="20"/>
        </w:rPr>
        <w:t xml:space="preserve"> </w:t>
      </w:r>
    </w:p>
    <w:p w14:paraId="121AB97D" w14:textId="7C6634D9"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2. Monoclonal proteins may occasionally adhere to the gel matrix, especially cryoglobulins or IgM. These bands will appear in all five antisera reaction areas of the gel. However, where the band reacts with the specific antisera for its heavy chain and light chain, there will be a marked increase in size and staining activity, allowing the band to be identified.</w:t>
      </w:r>
    </w:p>
    <w:p w14:paraId="264AAF21" w14:textId="78067432"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3. An application artifact may appear as a fine clear line (negative space) that may be visible to a faint degree across the entire gel in the beta region. This can on occasion cause the edge of a normal blush to appear slightly blunted.</w:t>
      </w:r>
    </w:p>
    <w:p w14:paraId="1A2D39BE" w14:textId="2AA49CAC"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lastRenderedPageBreak/>
        <w:tab/>
        <w:t xml:space="preserve">4. </w:t>
      </w:r>
      <w:r w:rsidRPr="002C1351">
        <w:rPr>
          <w:rFonts w:ascii="Arial" w:hAnsi="Arial" w:cs="Arial"/>
          <w:color w:val="000000"/>
          <w:spacing w:val="-2"/>
          <w:sz w:val="20"/>
          <w:szCs w:val="20"/>
        </w:rPr>
        <w:t>Therapeutic monoclonal antibodies may be used in the treatment of multiple myeloma as well as various other malignancies or medical conditions. If present in sufficient concentration, a humanized therapeutic monoclonal antibody will react with antisera in a manner comparable to a pathologic monoclonal protein.</w:t>
      </w:r>
      <w:r w:rsidRPr="002C1351">
        <w:rPr>
          <w:rFonts w:ascii="Arial" w:hAnsi="Arial" w:cs="Arial"/>
          <w:color w:val="000000"/>
          <w:spacing w:val="-2"/>
          <w:sz w:val="20"/>
          <w:szCs w:val="20"/>
          <w:vertAlign w:val="superscript"/>
        </w:rPr>
        <w:t>3, 9</w:t>
      </w:r>
      <w:r w:rsidRPr="002C1351">
        <w:rPr>
          <w:rFonts w:ascii="Arial" w:hAnsi="Arial" w:cs="Arial"/>
          <w:color w:val="000000"/>
          <w:sz w:val="20"/>
          <w:szCs w:val="20"/>
        </w:rPr>
        <w:t xml:space="preserve">   </w:t>
      </w:r>
    </w:p>
    <w:p w14:paraId="540CDCB4" w14:textId="081B4BBA"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5. Light chains associated with IgA or </w:t>
      </w:r>
      <w:proofErr w:type="spellStart"/>
      <w:r w:rsidRPr="002C1351">
        <w:rPr>
          <w:rFonts w:ascii="Arial" w:hAnsi="Arial" w:cs="Arial"/>
          <w:color w:val="000000"/>
          <w:sz w:val="20"/>
          <w:szCs w:val="20"/>
        </w:rPr>
        <w:t>IgD</w:t>
      </w:r>
      <w:proofErr w:type="spellEnd"/>
      <w:r w:rsidRPr="002C1351">
        <w:rPr>
          <w:rFonts w:ascii="Arial" w:hAnsi="Arial" w:cs="Arial"/>
          <w:color w:val="000000"/>
          <w:sz w:val="20"/>
          <w:szCs w:val="20"/>
        </w:rPr>
        <w:t xml:space="preserve"> heavy chains may on rare occasion be difficult to visualize. The structure of some IgA dimers may potentially block the light chain epitopes, decreasing the antisera reaction. This occurs more commonly with lambda than kappa.</w:t>
      </w:r>
      <w:r w:rsidRPr="002C1351">
        <w:rPr>
          <w:rFonts w:ascii="Arial" w:hAnsi="Arial" w:cs="Arial"/>
          <w:color w:val="000000"/>
          <w:sz w:val="20"/>
          <w:szCs w:val="20"/>
          <w:vertAlign w:val="superscript"/>
        </w:rPr>
        <w:t>5,10</w:t>
      </w:r>
    </w:p>
    <w:p w14:paraId="0C7BC574" w14:textId="1A34DEDD"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ab/>
        <w:t xml:space="preserve">6. </w:t>
      </w:r>
      <w:r w:rsidRPr="002C1351">
        <w:rPr>
          <w:rFonts w:ascii="Arial" w:hAnsi="Arial" w:cs="Arial"/>
          <w:color w:val="000000"/>
          <w:spacing w:val="-2"/>
          <w:sz w:val="20"/>
          <w:szCs w:val="20"/>
        </w:rPr>
        <w:t>It is possible that not all monoclonals are detected by immunofixation. Not all clinically significant monoclonal gammopathies will display a distinct band detectable by serum protein electrophoresis.</w:t>
      </w:r>
      <w:r w:rsidRPr="002C1351">
        <w:rPr>
          <w:rFonts w:ascii="Arial" w:hAnsi="Arial" w:cs="Arial"/>
          <w:color w:val="000000"/>
          <w:spacing w:val="-2"/>
          <w:sz w:val="20"/>
          <w:szCs w:val="20"/>
          <w:vertAlign w:val="superscript"/>
        </w:rPr>
        <w:t>11</w:t>
      </w:r>
      <w:r w:rsidRPr="002C1351">
        <w:rPr>
          <w:rFonts w:ascii="Arial" w:hAnsi="Arial" w:cs="Arial"/>
          <w:color w:val="000000"/>
          <w:sz w:val="20"/>
          <w:szCs w:val="20"/>
        </w:rPr>
        <w:t xml:space="preserve"> </w:t>
      </w:r>
    </w:p>
    <w:p w14:paraId="0352A160" w14:textId="77777777"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SENSITIVITY</w:t>
      </w:r>
      <w:r w:rsidRPr="002C1351">
        <w:rPr>
          <w:rFonts w:ascii="Arial" w:hAnsi="Arial" w:cs="Arial"/>
          <w:color w:val="000000"/>
          <w:sz w:val="20"/>
          <w:szCs w:val="20"/>
        </w:rPr>
        <w:t xml:space="preserve">   </w:t>
      </w:r>
    </w:p>
    <w:p w14:paraId="14059620" w14:textId="77777777"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A pathological serum sample with a monoclonal protein was serially diluted and the dilutions electrophoresed on the SPIFE IFE gels on the SPIFE Nexus. After visual inspection of the gel, the lowest detectable concentration of a monoclonal protein was between approximately 0.01 </w:t>
      </w:r>
      <w:proofErr w:type="gramStart"/>
      <w:r w:rsidRPr="002C1351">
        <w:rPr>
          <w:rFonts w:ascii="Arial" w:hAnsi="Arial" w:cs="Arial"/>
          <w:color w:val="000000"/>
          <w:sz w:val="20"/>
          <w:szCs w:val="20"/>
        </w:rPr>
        <w:t>and  0.02</w:t>
      </w:r>
      <w:proofErr w:type="gramEnd"/>
      <w:r w:rsidRPr="002C1351">
        <w:rPr>
          <w:rFonts w:ascii="Arial" w:hAnsi="Arial" w:cs="Arial"/>
          <w:color w:val="000000"/>
          <w:sz w:val="20"/>
          <w:szCs w:val="20"/>
        </w:rPr>
        <w:t xml:space="preserve"> g/L (1 and 2 mg/dL). </w:t>
      </w:r>
    </w:p>
    <w:p w14:paraId="355D1096" w14:textId="77777777" w:rsidR="002C1351" w:rsidRPr="002C1351" w:rsidRDefault="002C1351" w:rsidP="002C1351">
      <w:pPr>
        <w:tabs>
          <w:tab w:val="left" w:pos="160"/>
        </w:tabs>
        <w:autoSpaceDE w:val="0"/>
        <w:autoSpaceDN w:val="0"/>
        <w:adjustRightInd w:val="0"/>
        <w:spacing w:line="288" w:lineRule="auto"/>
        <w:jc w:val="both"/>
        <w:textAlignment w:val="center"/>
        <w:rPr>
          <w:rFonts w:ascii="Arial" w:hAnsi="Arial" w:cs="Arial"/>
          <w:b/>
          <w:bCs/>
          <w:color w:val="000000"/>
          <w:sz w:val="20"/>
          <w:szCs w:val="20"/>
        </w:rPr>
      </w:pPr>
      <w:r w:rsidRPr="002C1351">
        <w:rPr>
          <w:rFonts w:ascii="Arial" w:hAnsi="Arial" w:cs="Arial"/>
          <w:color w:val="000000"/>
          <w:sz w:val="20"/>
          <w:szCs w:val="20"/>
        </w:rPr>
        <w:t xml:space="preserve">Serial dilutions of a pathological urine sample containing a monoclonal were analyzed on the SPIFE Nexus using blade application on the SPIFE IFE gels. The sensitivity was determined to be approximately 0.01 g/L (1 mg/dL) for a single band when using three blade applications of neat urine. </w:t>
      </w:r>
    </w:p>
    <w:p w14:paraId="4E52157F"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color w:val="000000"/>
          <w:sz w:val="20"/>
          <w:szCs w:val="20"/>
        </w:rPr>
      </w:pPr>
      <w:r w:rsidRPr="002C1351">
        <w:rPr>
          <w:rFonts w:ascii="Arial" w:hAnsi="Arial" w:cs="Arial"/>
          <w:b/>
          <w:bCs/>
          <w:color w:val="000000"/>
          <w:sz w:val="20"/>
          <w:szCs w:val="20"/>
        </w:rPr>
        <w:t xml:space="preserve">PERFORMANCE CHARACTERISTICS </w:t>
      </w:r>
    </w:p>
    <w:p w14:paraId="3E0F7C28"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20"/>
          <w:szCs w:val="20"/>
        </w:rPr>
      </w:pPr>
      <w:r w:rsidRPr="002C1351">
        <w:rPr>
          <w:rFonts w:ascii="Arial" w:hAnsi="Arial" w:cs="Arial"/>
          <w:color w:val="000000"/>
          <w:sz w:val="20"/>
          <w:szCs w:val="20"/>
        </w:rPr>
        <w:t xml:space="preserve">Serum and urine samples containing IgG, IgA, IgM, Kappa light chain and Lambda light chain monoclonal proteins were tested using the SPIFE Touch and SPIFE Nexus instruments. The test results showed complete concordance between instruments.  </w:t>
      </w:r>
    </w:p>
    <w:p w14:paraId="731AEE42"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color w:val="000000"/>
          <w:sz w:val="20"/>
          <w:szCs w:val="20"/>
        </w:rPr>
      </w:pPr>
      <w:r w:rsidRPr="002C1351">
        <w:rPr>
          <w:rFonts w:ascii="Arial" w:hAnsi="Arial" w:cs="Arial"/>
          <w:b/>
          <w:bCs/>
          <w:color w:val="000000"/>
          <w:sz w:val="20"/>
          <w:szCs w:val="20"/>
        </w:rPr>
        <w:t>BIBLIOGRAPHY</w:t>
      </w:r>
    </w:p>
    <w:p w14:paraId="6B33511C" w14:textId="16F9EB1F"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1.</w:t>
      </w:r>
      <w:r w:rsidRPr="002C1351">
        <w:rPr>
          <w:rFonts w:ascii="Arial" w:hAnsi="Arial" w:cs="Arial"/>
          <w:color w:val="000000"/>
          <w:sz w:val="14"/>
          <w:szCs w:val="14"/>
        </w:rPr>
        <w:tab/>
        <w:t xml:space="preserve">Cawley, L.P., Minard, B.J., </w:t>
      </w:r>
      <w:proofErr w:type="spellStart"/>
      <w:r w:rsidRPr="002C1351">
        <w:rPr>
          <w:rFonts w:ascii="Arial" w:hAnsi="Arial" w:cs="Arial"/>
          <w:color w:val="000000"/>
          <w:sz w:val="14"/>
          <w:szCs w:val="14"/>
        </w:rPr>
        <w:t>Tourtellotte</w:t>
      </w:r>
      <w:proofErr w:type="spellEnd"/>
      <w:r w:rsidRPr="002C1351">
        <w:rPr>
          <w:rFonts w:ascii="Arial" w:hAnsi="Arial" w:cs="Arial"/>
          <w:color w:val="000000"/>
          <w:sz w:val="14"/>
          <w:szCs w:val="14"/>
        </w:rPr>
        <w:t xml:space="preserve">, W.W., Ma, B.I., &amp; </w:t>
      </w:r>
      <w:proofErr w:type="spellStart"/>
      <w:r w:rsidRPr="002C1351">
        <w:rPr>
          <w:rFonts w:ascii="Arial" w:hAnsi="Arial" w:cs="Arial"/>
          <w:color w:val="000000"/>
          <w:sz w:val="14"/>
          <w:szCs w:val="14"/>
        </w:rPr>
        <w:t>Chelle</w:t>
      </w:r>
      <w:proofErr w:type="spellEnd"/>
      <w:r w:rsidRPr="002C1351">
        <w:rPr>
          <w:rFonts w:ascii="Arial" w:hAnsi="Arial" w:cs="Arial"/>
          <w:color w:val="000000"/>
          <w:sz w:val="14"/>
          <w:szCs w:val="14"/>
        </w:rPr>
        <w:t xml:space="preserve">, C. Immunofixation electrophoretic techniques applied to identification of proteins in serum and cerebrospinal fluid. </w:t>
      </w:r>
      <w:r w:rsidRPr="002C1351">
        <w:rPr>
          <w:rFonts w:ascii="Arial" w:hAnsi="Arial" w:cs="Arial"/>
          <w:i/>
          <w:iCs/>
          <w:color w:val="000000"/>
          <w:sz w:val="14"/>
          <w:szCs w:val="14"/>
        </w:rPr>
        <w:t>Clin Chem.</w:t>
      </w:r>
      <w:r w:rsidRPr="002C1351">
        <w:rPr>
          <w:rFonts w:ascii="Arial" w:hAnsi="Arial" w:cs="Arial"/>
          <w:color w:val="000000"/>
          <w:sz w:val="14"/>
          <w:szCs w:val="14"/>
        </w:rPr>
        <w:t xml:space="preserve"> 1976; 22(8), 1262–1268.</w:t>
      </w:r>
    </w:p>
    <w:p w14:paraId="2ABB982F" w14:textId="0CBDB156"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2.</w:t>
      </w:r>
      <w:r w:rsidRPr="002C1351">
        <w:rPr>
          <w:rFonts w:ascii="Arial" w:hAnsi="Arial" w:cs="Arial"/>
          <w:color w:val="000000"/>
          <w:sz w:val="14"/>
          <w:szCs w:val="14"/>
        </w:rPr>
        <w:tab/>
        <w:t xml:space="preserve">Ritchie RF, Smith R. Immunofixation. III. Application to the study of monoclonal proteins. </w:t>
      </w:r>
      <w:r w:rsidRPr="002C1351">
        <w:rPr>
          <w:rFonts w:ascii="Arial" w:hAnsi="Arial" w:cs="Arial"/>
          <w:i/>
          <w:iCs/>
          <w:color w:val="000000"/>
          <w:sz w:val="14"/>
          <w:szCs w:val="14"/>
        </w:rPr>
        <w:t>Clin Chem.</w:t>
      </w:r>
      <w:r w:rsidRPr="002C1351">
        <w:rPr>
          <w:rFonts w:ascii="Arial" w:hAnsi="Arial" w:cs="Arial"/>
          <w:color w:val="000000"/>
          <w:sz w:val="14"/>
          <w:szCs w:val="14"/>
        </w:rPr>
        <w:t xml:space="preserve"> 1976; 22(12):1982-1985.</w:t>
      </w:r>
    </w:p>
    <w:p w14:paraId="79CA0409" w14:textId="6448DA63"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3.</w:t>
      </w:r>
      <w:r w:rsidRPr="002C1351">
        <w:rPr>
          <w:rFonts w:ascii="Arial" w:hAnsi="Arial" w:cs="Arial"/>
          <w:color w:val="000000"/>
          <w:sz w:val="14"/>
          <w:szCs w:val="14"/>
        </w:rPr>
        <w:tab/>
        <w:t xml:space="preserve">Keren DF. Therapeutic complications: A caveat for M-protein detection. </w:t>
      </w:r>
      <w:r w:rsidRPr="002C1351">
        <w:rPr>
          <w:rFonts w:ascii="Arial" w:hAnsi="Arial" w:cs="Arial"/>
          <w:i/>
          <w:iCs/>
          <w:color w:val="000000"/>
          <w:sz w:val="14"/>
          <w:szCs w:val="14"/>
        </w:rPr>
        <w:t>The Journal of Applied Laboratory Medicine.</w:t>
      </w:r>
      <w:r w:rsidRPr="002C1351">
        <w:rPr>
          <w:rFonts w:ascii="Arial" w:hAnsi="Arial" w:cs="Arial"/>
          <w:color w:val="000000"/>
          <w:sz w:val="14"/>
          <w:szCs w:val="14"/>
        </w:rPr>
        <w:t xml:space="preserve"> 2016; 1(4):342-345.</w:t>
      </w:r>
    </w:p>
    <w:p w14:paraId="5609B99D" w14:textId="59EEFB9E"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4.</w:t>
      </w:r>
      <w:r w:rsidRPr="002C1351">
        <w:rPr>
          <w:rFonts w:ascii="Arial" w:hAnsi="Arial" w:cs="Arial"/>
          <w:color w:val="000000"/>
          <w:sz w:val="14"/>
          <w:szCs w:val="14"/>
        </w:rPr>
        <w:tab/>
        <w:t xml:space="preserve">Keren DF. In: </w:t>
      </w:r>
      <w:r w:rsidRPr="002C1351">
        <w:rPr>
          <w:rFonts w:ascii="Arial" w:hAnsi="Arial" w:cs="Arial"/>
          <w:i/>
          <w:iCs/>
          <w:color w:val="000000"/>
          <w:sz w:val="14"/>
          <w:szCs w:val="14"/>
        </w:rPr>
        <w:t>Protein Electrophoresis in Clinical Diagnosis.</w:t>
      </w:r>
      <w:r w:rsidRPr="002C1351">
        <w:rPr>
          <w:rFonts w:ascii="Arial" w:hAnsi="Arial" w:cs="Arial"/>
          <w:color w:val="000000"/>
          <w:sz w:val="14"/>
          <w:szCs w:val="14"/>
        </w:rPr>
        <w:t xml:space="preserve"> American Society for Clinical Pathology Press; 2012:125-134. </w:t>
      </w:r>
    </w:p>
    <w:p w14:paraId="4E22AF0D" w14:textId="4037B0EB"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r>
      <w:r w:rsidRPr="002C1351">
        <w:rPr>
          <w:rFonts w:ascii="Arial" w:hAnsi="Arial" w:cs="Arial"/>
          <w:color w:val="000000"/>
          <w:spacing w:val="-2"/>
          <w:sz w:val="14"/>
          <w:szCs w:val="14"/>
        </w:rPr>
        <w:t>5.</w:t>
      </w:r>
      <w:r w:rsidRPr="002C1351">
        <w:rPr>
          <w:rFonts w:ascii="Arial" w:hAnsi="Arial" w:cs="Arial"/>
          <w:color w:val="000000"/>
          <w:spacing w:val="-2"/>
          <w:sz w:val="14"/>
          <w:szCs w:val="14"/>
        </w:rPr>
        <w:tab/>
        <w:t xml:space="preserve">Yu M, Bruns DE, </w:t>
      </w:r>
      <w:proofErr w:type="spellStart"/>
      <w:r w:rsidRPr="002C1351">
        <w:rPr>
          <w:rFonts w:ascii="Arial" w:hAnsi="Arial" w:cs="Arial"/>
          <w:color w:val="000000"/>
          <w:spacing w:val="-2"/>
          <w:sz w:val="14"/>
          <w:szCs w:val="14"/>
        </w:rPr>
        <w:t>Katzmann</w:t>
      </w:r>
      <w:proofErr w:type="spellEnd"/>
      <w:r w:rsidRPr="002C1351">
        <w:rPr>
          <w:rFonts w:ascii="Arial" w:hAnsi="Arial" w:cs="Arial"/>
          <w:color w:val="000000"/>
          <w:spacing w:val="-2"/>
          <w:sz w:val="14"/>
          <w:szCs w:val="14"/>
        </w:rPr>
        <w:t xml:space="preserve"> JA, Silverman LM, Murray DL. Restricted IGG-kappa and free alpha-heavy-chain bands in an asymptomatic 62-year-old man. </w:t>
      </w:r>
      <w:r w:rsidRPr="002C1351">
        <w:rPr>
          <w:rFonts w:ascii="Arial" w:hAnsi="Arial" w:cs="Arial"/>
          <w:i/>
          <w:iCs/>
          <w:color w:val="000000"/>
          <w:spacing w:val="-2"/>
          <w:sz w:val="14"/>
          <w:szCs w:val="14"/>
        </w:rPr>
        <w:t>Clin Chem.</w:t>
      </w:r>
      <w:r w:rsidRPr="002C1351">
        <w:rPr>
          <w:rFonts w:ascii="Arial" w:hAnsi="Arial" w:cs="Arial"/>
          <w:color w:val="000000"/>
          <w:spacing w:val="-2"/>
          <w:sz w:val="14"/>
          <w:szCs w:val="14"/>
        </w:rPr>
        <w:t xml:space="preserve"> 2018; 64(2):265-268.</w:t>
      </w:r>
    </w:p>
    <w:p w14:paraId="23A25898" w14:textId="338AFD04"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pacing w:val="1"/>
          <w:sz w:val="14"/>
          <w:szCs w:val="14"/>
        </w:rPr>
        <w:tab/>
      </w:r>
      <w:r w:rsidRPr="002C1351">
        <w:rPr>
          <w:rFonts w:ascii="Arial" w:hAnsi="Arial" w:cs="Arial"/>
          <w:color w:val="000000"/>
          <w:sz w:val="14"/>
          <w:szCs w:val="14"/>
        </w:rPr>
        <w:t>6.</w:t>
      </w:r>
      <w:r w:rsidRPr="002C1351">
        <w:rPr>
          <w:rFonts w:ascii="Arial" w:hAnsi="Arial" w:cs="Arial"/>
          <w:color w:val="000000"/>
          <w:sz w:val="14"/>
          <w:szCs w:val="14"/>
        </w:rPr>
        <w:tab/>
      </w:r>
      <w:proofErr w:type="spellStart"/>
      <w:r w:rsidRPr="002C1351">
        <w:rPr>
          <w:rFonts w:ascii="Arial" w:hAnsi="Arial" w:cs="Arial"/>
          <w:color w:val="000000"/>
          <w:sz w:val="14"/>
          <w:szCs w:val="14"/>
        </w:rPr>
        <w:t>Macnamara</w:t>
      </w:r>
      <w:proofErr w:type="spellEnd"/>
      <w:r w:rsidRPr="002C1351">
        <w:rPr>
          <w:rFonts w:ascii="Arial" w:hAnsi="Arial" w:cs="Arial"/>
          <w:color w:val="000000"/>
          <w:sz w:val="14"/>
          <w:szCs w:val="14"/>
        </w:rPr>
        <w:t xml:space="preserve"> EM, et al. Clin Chem. 1991; 37(9): 1570-1574.</w:t>
      </w:r>
    </w:p>
    <w:p w14:paraId="262D9503" w14:textId="76194D87"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pacing w:val="1"/>
          <w:sz w:val="14"/>
          <w:szCs w:val="14"/>
          <w:u w:val="thick" w:color="000000"/>
        </w:rPr>
      </w:pPr>
      <w:r w:rsidRPr="002C1351">
        <w:rPr>
          <w:rFonts w:ascii="Arial" w:hAnsi="Arial" w:cs="Arial"/>
          <w:color w:val="000000"/>
          <w:sz w:val="14"/>
          <w:szCs w:val="14"/>
        </w:rPr>
        <w:tab/>
        <w:t>7.</w:t>
      </w:r>
      <w:r w:rsidRPr="002C1351">
        <w:rPr>
          <w:rFonts w:ascii="Arial" w:hAnsi="Arial" w:cs="Arial"/>
          <w:color w:val="000000"/>
          <w:sz w:val="14"/>
          <w:szCs w:val="14"/>
        </w:rPr>
        <w:tab/>
      </w:r>
      <w:proofErr w:type="spellStart"/>
      <w:r w:rsidRPr="002C1351">
        <w:rPr>
          <w:rFonts w:ascii="Arial" w:hAnsi="Arial" w:cs="Arial"/>
          <w:color w:val="000000"/>
          <w:sz w:val="14"/>
          <w:szCs w:val="14"/>
        </w:rPr>
        <w:t>Ritzmann</w:t>
      </w:r>
      <w:proofErr w:type="spellEnd"/>
      <w:r w:rsidRPr="002C1351">
        <w:rPr>
          <w:rFonts w:ascii="Arial" w:hAnsi="Arial" w:cs="Arial"/>
          <w:color w:val="000000"/>
          <w:sz w:val="14"/>
          <w:szCs w:val="14"/>
        </w:rPr>
        <w:t xml:space="preserve"> SE, editor. Protein Abnormalities Volume 3. Proteins in Bodily Fluids, Amino Acids, and Tumor Markers: Diagnostic and Clinical Aspects. New York (NY): Allen R </w:t>
      </w:r>
      <w:proofErr w:type="spellStart"/>
      <w:r w:rsidRPr="002C1351">
        <w:rPr>
          <w:rFonts w:ascii="Arial" w:hAnsi="Arial" w:cs="Arial"/>
          <w:color w:val="000000"/>
          <w:sz w:val="14"/>
          <w:szCs w:val="14"/>
        </w:rPr>
        <w:t>Liss</w:t>
      </w:r>
      <w:proofErr w:type="spellEnd"/>
      <w:r w:rsidRPr="002C1351">
        <w:rPr>
          <w:rFonts w:ascii="Arial" w:hAnsi="Arial" w:cs="Arial"/>
          <w:color w:val="000000"/>
          <w:sz w:val="14"/>
          <w:szCs w:val="14"/>
        </w:rPr>
        <w:t>; 1983; 130</w:t>
      </w:r>
      <w:r w:rsidRPr="002C1351">
        <w:rPr>
          <w:rFonts w:ascii="Arial" w:hAnsi="Arial" w:cs="Arial"/>
          <w:color w:val="000000"/>
          <w:spacing w:val="1"/>
          <w:sz w:val="14"/>
          <w:szCs w:val="14"/>
          <w:u w:val="thick" w:color="000000"/>
        </w:rPr>
        <w:t>.</w:t>
      </w:r>
    </w:p>
    <w:p w14:paraId="3DBA6D1B" w14:textId="43C03465"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8.</w:t>
      </w:r>
      <w:r w:rsidRPr="002C1351">
        <w:rPr>
          <w:rFonts w:ascii="Arial" w:hAnsi="Arial" w:cs="Arial"/>
          <w:color w:val="000000"/>
          <w:sz w:val="14"/>
          <w:szCs w:val="14"/>
        </w:rPr>
        <w:tab/>
      </w:r>
      <w:proofErr w:type="spellStart"/>
      <w:r w:rsidRPr="002C1351">
        <w:rPr>
          <w:rFonts w:ascii="Arial" w:hAnsi="Arial" w:cs="Arial"/>
          <w:color w:val="000000"/>
          <w:sz w:val="14"/>
          <w:szCs w:val="14"/>
        </w:rPr>
        <w:t>Jeppson</w:t>
      </w:r>
      <w:proofErr w:type="spellEnd"/>
      <w:r w:rsidRPr="002C1351">
        <w:rPr>
          <w:rFonts w:ascii="Arial" w:hAnsi="Arial" w:cs="Arial"/>
          <w:color w:val="000000"/>
          <w:sz w:val="14"/>
          <w:szCs w:val="14"/>
        </w:rPr>
        <w:t xml:space="preserve"> JO, </w:t>
      </w:r>
      <w:proofErr w:type="spellStart"/>
      <w:r w:rsidRPr="002C1351">
        <w:rPr>
          <w:rFonts w:ascii="Arial" w:hAnsi="Arial" w:cs="Arial"/>
          <w:color w:val="000000"/>
          <w:sz w:val="14"/>
          <w:szCs w:val="14"/>
        </w:rPr>
        <w:t>Laurell</w:t>
      </w:r>
      <w:proofErr w:type="spellEnd"/>
      <w:r w:rsidRPr="002C1351">
        <w:rPr>
          <w:rFonts w:ascii="Arial" w:hAnsi="Arial" w:cs="Arial"/>
          <w:color w:val="000000"/>
          <w:sz w:val="14"/>
          <w:szCs w:val="14"/>
        </w:rPr>
        <w:t xml:space="preserve"> CB, </w:t>
      </w:r>
      <w:proofErr w:type="spellStart"/>
      <w:r w:rsidRPr="002C1351">
        <w:rPr>
          <w:rFonts w:ascii="Arial" w:hAnsi="Arial" w:cs="Arial"/>
          <w:color w:val="000000"/>
          <w:sz w:val="14"/>
          <w:szCs w:val="14"/>
        </w:rPr>
        <w:t>Franzén</w:t>
      </w:r>
      <w:proofErr w:type="spellEnd"/>
      <w:r w:rsidRPr="002C1351">
        <w:rPr>
          <w:rFonts w:ascii="Arial" w:hAnsi="Arial" w:cs="Arial"/>
          <w:color w:val="000000"/>
          <w:sz w:val="14"/>
          <w:szCs w:val="14"/>
        </w:rPr>
        <w:t xml:space="preserve"> B. Agarose gel electrophoresis. </w:t>
      </w:r>
      <w:r w:rsidRPr="002C1351">
        <w:rPr>
          <w:rFonts w:ascii="Arial" w:hAnsi="Arial" w:cs="Arial"/>
          <w:i/>
          <w:iCs/>
          <w:color w:val="000000"/>
          <w:sz w:val="14"/>
          <w:szCs w:val="14"/>
        </w:rPr>
        <w:t xml:space="preserve">Clin Chem. </w:t>
      </w:r>
      <w:r w:rsidRPr="002C1351">
        <w:rPr>
          <w:rFonts w:ascii="Arial" w:hAnsi="Arial" w:cs="Arial"/>
          <w:color w:val="000000"/>
          <w:sz w:val="14"/>
          <w:szCs w:val="14"/>
        </w:rPr>
        <w:t xml:space="preserve">1979; 25(4):629-638. </w:t>
      </w:r>
    </w:p>
    <w:p w14:paraId="33F8768E" w14:textId="3FA6E660"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9.</w:t>
      </w:r>
      <w:r w:rsidRPr="002C1351">
        <w:rPr>
          <w:rFonts w:ascii="Arial" w:hAnsi="Arial" w:cs="Arial"/>
          <w:color w:val="000000"/>
          <w:sz w:val="14"/>
          <w:szCs w:val="14"/>
        </w:rPr>
        <w:tab/>
      </w:r>
      <w:proofErr w:type="spellStart"/>
      <w:r w:rsidRPr="002C1351">
        <w:rPr>
          <w:rFonts w:ascii="Arial" w:hAnsi="Arial" w:cs="Arial"/>
          <w:color w:val="000000"/>
          <w:sz w:val="14"/>
          <w:szCs w:val="14"/>
        </w:rPr>
        <w:t>McCudden</w:t>
      </w:r>
      <w:proofErr w:type="spellEnd"/>
      <w:r w:rsidRPr="002C1351">
        <w:rPr>
          <w:rFonts w:ascii="Arial" w:hAnsi="Arial" w:cs="Arial"/>
          <w:color w:val="000000"/>
          <w:sz w:val="14"/>
          <w:szCs w:val="14"/>
        </w:rPr>
        <w:t xml:space="preserve"> CR, Jacobs JFM, Keren D, </w:t>
      </w:r>
      <w:proofErr w:type="spellStart"/>
      <w:r w:rsidRPr="002C1351">
        <w:rPr>
          <w:rFonts w:ascii="Arial" w:hAnsi="Arial" w:cs="Arial"/>
          <w:color w:val="000000"/>
          <w:sz w:val="14"/>
          <w:szCs w:val="14"/>
        </w:rPr>
        <w:t>Caillon</w:t>
      </w:r>
      <w:proofErr w:type="spellEnd"/>
      <w:r w:rsidRPr="002C1351">
        <w:rPr>
          <w:rFonts w:ascii="Arial" w:hAnsi="Arial" w:cs="Arial"/>
          <w:color w:val="000000"/>
          <w:sz w:val="14"/>
          <w:szCs w:val="14"/>
        </w:rPr>
        <w:t xml:space="preserve"> H, </w:t>
      </w:r>
      <w:proofErr w:type="spellStart"/>
      <w:r w:rsidRPr="002C1351">
        <w:rPr>
          <w:rFonts w:ascii="Arial" w:hAnsi="Arial" w:cs="Arial"/>
          <w:color w:val="000000"/>
          <w:sz w:val="14"/>
          <w:szCs w:val="14"/>
        </w:rPr>
        <w:t>Dejoie</w:t>
      </w:r>
      <w:proofErr w:type="spellEnd"/>
      <w:r w:rsidRPr="002C1351">
        <w:rPr>
          <w:rFonts w:ascii="Arial" w:hAnsi="Arial" w:cs="Arial"/>
          <w:color w:val="000000"/>
          <w:sz w:val="14"/>
          <w:szCs w:val="14"/>
        </w:rPr>
        <w:t xml:space="preserve"> T, Andersen K. Recognition and management of common, rare, and novel serum protein electrophoresis and immunofixation interferences. </w:t>
      </w:r>
      <w:r w:rsidRPr="002C1351">
        <w:rPr>
          <w:rFonts w:ascii="Arial" w:hAnsi="Arial" w:cs="Arial"/>
          <w:i/>
          <w:iCs/>
          <w:color w:val="000000"/>
          <w:sz w:val="14"/>
          <w:szCs w:val="14"/>
        </w:rPr>
        <w:t xml:space="preserve">Clin </w:t>
      </w:r>
      <w:proofErr w:type="spellStart"/>
      <w:r w:rsidRPr="002C1351">
        <w:rPr>
          <w:rFonts w:ascii="Arial" w:hAnsi="Arial" w:cs="Arial"/>
          <w:i/>
          <w:iCs/>
          <w:color w:val="000000"/>
          <w:sz w:val="14"/>
          <w:szCs w:val="14"/>
        </w:rPr>
        <w:t>Biochem</w:t>
      </w:r>
      <w:proofErr w:type="spellEnd"/>
      <w:r w:rsidRPr="002C1351">
        <w:rPr>
          <w:rFonts w:ascii="Arial" w:hAnsi="Arial" w:cs="Arial"/>
          <w:i/>
          <w:iCs/>
          <w:color w:val="000000"/>
          <w:sz w:val="14"/>
          <w:szCs w:val="14"/>
        </w:rPr>
        <w:t>.</w:t>
      </w:r>
      <w:r w:rsidRPr="002C1351">
        <w:rPr>
          <w:rFonts w:ascii="Arial" w:hAnsi="Arial" w:cs="Arial"/>
          <w:color w:val="000000"/>
          <w:sz w:val="14"/>
          <w:szCs w:val="14"/>
        </w:rPr>
        <w:t xml:space="preserve"> 2018; 51:72-79. </w:t>
      </w:r>
    </w:p>
    <w:p w14:paraId="5DE905F1" w14:textId="00E0C8FF"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10.</w:t>
      </w:r>
      <w:r w:rsidRPr="002C1351">
        <w:rPr>
          <w:rFonts w:ascii="Arial" w:hAnsi="Arial" w:cs="Arial"/>
          <w:color w:val="000000"/>
          <w:sz w:val="14"/>
          <w:szCs w:val="14"/>
        </w:rPr>
        <w:tab/>
        <w:t xml:space="preserve">Hashimoto N, </w:t>
      </w:r>
      <w:proofErr w:type="spellStart"/>
      <w:r w:rsidRPr="002C1351">
        <w:rPr>
          <w:rFonts w:ascii="Arial" w:hAnsi="Arial" w:cs="Arial"/>
          <w:color w:val="000000"/>
          <w:sz w:val="14"/>
          <w:szCs w:val="14"/>
        </w:rPr>
        <w:t>Chandor</w:t>
      </w:r>
      <w:proofErr w:type="spellEnd"/>
      <w:r w:rsidRPr="002C1351">
        <w:rPr>
          <w:rFonts w:ascii="Arial" w:hAnsi="Arial" w:cs="Arial"/>
          <w:color w:val="000000"/>
          <w:sz w:val="14"/>
          <w:szCs w:val="14"/>
        </w:rPr>
        <w:t xml:space="preserve"> S, Mandy W, Yokoyama M. Atypical IgA with hidden light chain. </w:t>
      </w:r>
      <w:r w:rsidRPr="002C1351">
        <w:rPr>
          <w:rFonts w:ascii="Arial" w:hAnsi="Arial" w:cs="Arial"/>
          <w:i/>
          <w:iCs/>
          <w:color w:val="000000"/>
          <w:sz w:val="14"/>
          <w:szCs w:val="14"/>
        </w:rPr>
        <w:t>Clin Exp Immunol.</w:t>
      </w:r>
      <w:r w:rsidRPr="002C1351">
        <w:rPr>
          <w:rFonts w:ascii="Arial" w:hAnsi="Arial" w:cs="Arial"/>
          <w:color w:val="000000"/>
          <w:sz w:val="14"/>
          <w:szCs w:val="14"/>
        </w:rPr>
        <w:t xml:space="preserve"> 1970; 6(6):941-949. </w:t>
      </w:r>
    </w:p>
    <w:p w14:paraId="4F95DF04" w14:textId="4A8B8320" w:rsidR="002C1351" w:rsidRPr="002C1351" w:rsidRDefault="002C1351" w:rsidP="002C1351">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ab/>
        <w:t>11.</w:t>
      </w:r>
      <w:r w:rsidRPr="002C1351">
        <w:rPr>
          <w:rFonts w:ascii="Arial" w:hAnsi="Arial" w:cs="Arial"/>
          <w:color w:val="000000"/>
          <w:sz w:val="14"/>
          <w:szCs w:val="14"/>
        </w:rPr>
        <w:tab/>
        <w:t xml:space="preserve">Kyle RA, Gertz MA, </w:t>
      </w:r>
      <w:proofErr w:type="spellStart"/>
      <w:r w:rsidRPr="002C1351">
        <w:rPr>
          <w:rFonts w:ascii="Arial" w:hAnsi="Arial" w:cs="Arial"/>
          <w:color w:val="000000"/>
          <w:sz w:val="14"/>
          <w:szCs w:val="14"/>
        </w:rPr>
        <w:t>Witzig</w:t>
      </w:r>
      <w:proofErr w:type="spellEnd"/>
      <w:r w:rsidRPr="002C1351">
        <w:rPr>
          <w:rFonts w:ascii="Arial" w:hAnsi="Arial" w:cs="Arial"/>
          <w:color w:val="000000"/>
          <w:sz w:val="14"/>
          <w:szCs w:val="14"/>
        </w:rPr>
        <w:t xml:space="preserve"> TE, et al. Review of 1027 patients with newly diagnosed multiple myeloma. </w:t>
      </w:r>
      <w:r w:rsidRPr="002C1351">
        <w:rPr>
          <w:rFonts w:ascii="Arial" w:hAnsi="Arial" w:cs="Arial"/>
          <w:i/>
          <w:iCs/>
          <w:color w:val="000000"/>
          <w:sz w:val="14"/>
          <w:szCs w:val="14"/>
        </w:rPr>
        <w:t>Mayo Clinic Proceedings.</w:t>
      </w:r>
      <w:r w:rsidRPr="002C1351">
        <w:rPr>
          <w:rFonts w:ascii="Arial" w:hAnsi="Arial" w:cs="Arial"/>
          <w:color w:val="000000"/>
          <w:sz w:val="14"/>
          <w:szCs w:val="14"/>
        </w:rPr>
        <w:t xml:space="preserve"> 2003; 78(1):21-33.</w:t>
      </w:r>
    </w:p>
    <w:p w14:paraId="43998EF2" w14:textId="77777777" w:rsidR="002C1351" w:rsidRPr="002C1351" w:rsidRDefault="002C1351" w:rsidP="002C1351">
      <w:pPr>
        <w:tabs>
          <w:tab w:val="left" w:pos="240"/>
          <w:tab w:val="left" w:pos="480"/>
          <w:tab w:val="left" w:pos="720"/>
        </w:tabs>
        <w:autoSpaceDE w:val="0"/>
        <w:autoSpaceDN w:val="0"/>
        <w:adjustRightInd w:val="0"/>
        <w:spacing w:before="180" w:line="288" w:lineRule="auto"/>
        <w:jc w:val="both"/>
        <w:textAlignment w:val="center"/>
        <w:rPr>
          <w:rFonts w:ascii="Arial" w:hAnsi="Arial" w:cs="Arial"/>
          <w:color w:val="000000"/>
          <w:sz w:val="16"/>
          <w:szCs w:val="16"/>
        </w:rPr>
      </w:pPr>
      <w:r w:rsidRPr="002C1351">
        <w:rPr>
          <w:rFonts w:ascii="Arial" w:hAnsi="Arial" w:cs="Arial"/>
          <w:color w:val="000000"/>
          <w:sz w:val="16"/>
          <w:szCs w:val="16"/>
        </w:rPr>
        <w:t>For Sales, Technical and Order Information and Service Assistance, call 800-231-5663 toll free.</w:t>
      </w:r>
    </w:p>
    <w:p w14:paraId="750DA25E" w14:textId="77777777" w:rsidR="002C1351" w:rsidRPr="002C1351" w:rsidRDefault="002C1351" w:rsidP="002C1351">
      <w:pPr>
        <w:tabs>
          <w:tab w:val="left" w:pos="240"/>
          <w:tab w:val="left" w:pos="480"/>
          <w:tab w:val="left" w:pos="720"/>
        </w:tabs>
        <w:autoSpaceDE w:val="0"/>
        <w:autoSpaceDN w:val="0"/>
        <w:adjustRightInd w:val="0"/>
        <w:spacing w:before="40" w:line="288" w:lineRule="auto"/>
        <w:jc w:val="both"/>
        <w:textAlignment w:val="center"/>
        <w:rPr>
          <w:rFonts w:ascii="Arial" w:hAnsi="Arial" w:cs="Arial"/>
          <w:color w:val="000000"/>
          <w:sz w:val="14"/>
          <w:szCs w:val="14"/>
        </w:rPr>
      </w:pPr>
      <w:r w:rsidRPr="002C1351">
        <w:rPr>
          <w:rFonts w:ascii="Arial" w:hAnsi="Arial" w:cs="Arial"/>
          <w:color w:val="000000"/>
          <w:sz w:val="14"/>
          <w:szCs w:val="14"/>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271AE2CA" w14:textId="77777777" w:rsidR="002C1351" w:rsidRPr="002C1351" w:rsidRDefault="002C1351" w:rsidP="002C1351">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In no case will Helena Laboratories be liable for consequential damages even if Helena has been advised as to the possibility of such damages.</w:t>
      </w:r>
    </w:p>
    <w:p w14:paraId="4D7B35ED" w14:textId="77777777" w:rsidR="002C1351" w:rsidRPr="002C1351" w:rsidRDefault="002C1351" w:rsidP="002C1351">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2C1351">
        <w:rPr>
          <w:rFonts w:ascii="Arial" w:hAnsi="Arial" w:cs="Arial"/>
          <w:color w:val="000000"/>
          <w:sz w:val="14"/>
          <w:szCs w:val="14"/>
        </w:rPr>
        <w:t>The foregoing warranties are in lieu of all warranties expressed or implied including, but not limited to, the implied warranties of merchantability and fitness for a particular purpose.</w:t>
      </w:r>
    </w:p>
    <w:p w14:paraId="0AD09713" w14:textId="77777777" w:rsidR="002C1351" w:rsidRPr="002C1351" w:rsidRDefault="002C1351" w:rsidP="002C1351">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7F405C6F" w14:textId="77777777" w:rsidR="002C1351" w:rsidRPr="002C1351" w:rsidRDefault="002C1351" w:rsidP="002C1351">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2"/>
          <w:szCs w:val="12"/>
        </w:rPr>
      </w:pPr>
      <w:r w:rsidRPr="002C1351">
        <w:rPr>
          <w:rFonts w:ascii="Arial" w:hAnsi="Arial" w:cs="Arial"/>
          <w:color w:val="000000"/>
          <w:sz w:val="12"/>
          <w:szCs w:val="12"/>
        </w:rPr>
        <w:t>© 2023 Helena Laboratories, Corp.</w:t>
      </w:r>
    </w:p>
    <w:p w14:paraId="632718CA" w14:textId="77777777" w:rsidR="002C1351" w:rsidRPr="002C1351" w:rsidRDefault="002C1351" w:rsidP="002C1351">
      <w:pPr>
        <w:tabs>
          <w:tab w:val="left" w:pos="240"/>
          <w:tab w:val="left" w:pos="480"/>
          <w:tab w:val="left" w:pos="720"/>
        </w:tabs>
        <w:autoSpaceDE w:val="0"/>
        <w:autoSpaceDN w:val="0"/>
        <w:adjustRightInd w:val="0"/>
        <w:spacing w:line="288" w:lineRule="auto"/>
        <w:jc w:val="both"/>
        <w:textAlignment w:val="center"/>
        <w:rPr>
          <w:rFonts w:ascii="Arial Narrow MT Std" w:hAnsi="Arial Narrow MT Std" w:cs="Arial Narrow MT Std"/>
          <w:color w:val="000000"/>
          <w:sz w:val="14"/>
          <w:szCs w:val="14"/>
        </w:rPr>
      </w:pPr>
    </w:p>
    <w:p w14:paraId="4FCEF9BD" w14:textId="5A031D76" w:rsidR="00320BEC" w:rsidRPr="0090049D" w:rsidRDefault="00320BEC" w:rsidP="00320BEC">
      <w:pPr>
        <w:pStyle w:val="BodyCopy"/>
        <w:rPr>
          <w:rFonts w:ascii="Arial" w:hAnsi="Arial" w:cs="Arial"/>
          <w:sz w:val="14"/>
          <w:szCs w:val="14"/>
        </w:rPr>
      </w:pPr>
    </w:p>
    <w:p w14:paraId="77E33660" w14:textId="6DE341AC" w:rsidR="00922F22" w:rsidRPr="0090049D" w:rsidRDefault="00922F22" w:rsidP="00D9228C">
      <w:pPr>
        <w:rPr>
          <w:rFonts w:ascii="Arial" w:hAnsi="Arial" w:cs="Arial"/>
          <w:sz w:val="12"/>
          <w:szCs w:val="12"/>
        </w:rPr>
      </w:pPr>
    </w:p>
    <w:p w14:paraId="62A9EFFE" w14:textId="77777777" w:rsidR="001D67FA" w:rsidRPr="0090049D" w:rsidRDefault="001D67FA" w:rsidP="00D9228C">
      <w:pPr>
        <w:rPr>
          <w:rFonts w:ascii="Arial" w:hAnsi="Arial" w:cs="Arial"/>
          <w:sz w:val="12"/>
          <w:szCs w:val="12"/>
        </w:rPr>
      </w:pPr>
    </w:p>
    <w:p w14:paraId="2C68CB80" w14:textId="77777777" w:rsidR="001D67FA" w:rsidRPr="007D057B" w:rsidRDefault="001D67FA" w:rsidP="00D9228C">
      <w:pPr>
        <w:rPr>
          <w:rFonts w:ascii="Arial" w:hAnsi="Arial" w:cs="Arial"/>
          <w:sz w:val="12"/>
          <w:szCs w:val="12"/>
        </w:rPr>
      </w:pPr>
    </w:p>
    <w:p w14:paraId="4B53BA60" w14:textId="77777777" w:rsidR="001D67FA" w:rsidRPr="007D057B" w:rsidRDefault="001D67FA" w:rsidP="00102257">
      <w:pPr>
        <w:rPr>
          <w:rFonts w:ascii="Arial" w:hAnsi="Arial" w:cs="Arial"/>
          <w:sz w:val="12"/>
          <w:szCs w:val="12"/>
        </w:rPr>
      </w:pPr>
    </w:p>
    <w:p w14:paraId="6621DCA6" w14:textId="39539158" w:rsidR="001D67FA" w:rsidRPr="007D057B" w:rsidRDefault="00D6505D" w:rsidP="00102257">
      <w:pPr>
        <w:rPr>
          <w:rFonts w:ascii="Arial" w:hAnsi="Arial" w:cs="Arial"/>
          <w:sz w:val="12"/>
          <w:szCs w:val="12"/>
        </w:rPr>
      </w:pPr>
      <w:r w:rsidRPr="007D057B">
        <w:rPr>
          <w:rFonts w:ascii="Arial" w:hAnsi="Arial" w:cs="Arial"/>
          <w:sz w:val="12"/>
          <w:szCs w:val="12"/>
        </w:rPr>
        <w:t xml:space="preserve">Pro. </w:t>
      </w:r>
      <w:r w:rsidR="00102257">
        <w:rPr>
          <w:rFonts w:ascii="Arial" w:hAnsi="Arial" w:cs="Arial"/>
          <w:sz w:val="12"/>
          <w:szCs w:val="12"/>
        </w:rPr>
        <w:t>10</w:t>
      </w:r>
    </w:p>
    <w:p w14:paraId="3C1ABC19" w14:textId="22FCCF06" w:rsidR="001D67FA" w:rsidRDefault="00E24752" w:rsidP="00102257">
      <w:pPr>
        <w:rPr>
          <w:rFonts w:ascii="Arial" w:hAnsi="Arial" w:cs="Arial"/>
          <w:sz w:val="12"/>
          <w:szCs w:val="12"/>
        </w:rPr>
      </w:pPr>
      <w:r>
        <w:rPr>
          <w:rFonts w:ascii="Arial" w:hAnsi="Arial" w:cs="Arial"/>
          <w:sz w:val="12"/>
          <w:szCs w:val="12"/>
        </w:rPr>
        <w:t>9</w:t>
      </w:r>
      <w:r w:rsidR="00816759" w:rsidRPr="007D057B">
        <w:rPr>
          <w:rFonts w:ascii="Arial" w:hAnsi="Arial" w:cs="Arial"/>
          <w:sz w:val="12"/>
          <w:szCs w:val="12"/>
        </w:rPr>
        <w:t>/2</w:t>
      </w:r>
      <w:r w:rsidR="002C1351">
        <w:rPr>
          <w:rFonts w:ascii="Arial" w:hAnsi="Arial" w:cs="Arial"/>
          <w:sz w:val="12"/>
          <w:szCs w:val="12"/>
        </w:rPr>
        <w:t>3</w:t>
      </w:r>
      <w:r w:rsidR="003E4E4E">
        <w:rPr>
          <w:rFonts w:ascii="Arial" w:hAnsi="Arial" w:cs="Arial"/>
          <w:sz w:val="12"/>
          <w:szCs w:val="12"/>
        </w:rPr>
        <w:t>(</w:t>
      </w:r>
      <w:r w:rsidR="002C1351">
        <w:rPr>
          <w:rFonts w:ascii="Arial" w:hAnsi="Arial" w:cs="Arial"/>
          <w:sz w:val="12"/>
          <w:szCs w:val="12"/>
        </w:rPr>
        <w:t>4</w:t>
      </w:r>
      <w:r w:rsidR="003E4E4E">
        <w:rPr>
          <w:rFonts w:ascii="Arial" w:hAnsi="Arial" w:cs="Arial"/>
          <w:sz w:val="12"/>
          <w:szCs w:val="12"/>
        </w:rPr>
        <w:t>)</w:t>
      </w:r>
    </w:p>
    <w:p w14:paraId="23678417" w14:textId="77777777" w:rsidR="002C1351" w:rsidRDefault="002C1351" w:rsidP="00102257">
      <w:pPr>
        <w:rPr>
          <w:rFonts w:ascii="Arial" w:hAnsi="Arial" w:cs="Arial"/>
          <w:sz w:val="12"/>
          <w:szCs w:val="12"/>
        </w:rPr>
      </w:pPr>
    </w:p>
    <w:p w14:paraId="646783C3" w14:textId="77777777" w:rsidR="002C1351" w:rsidRDefault="002C1351" w:rsidP="00102257">
      <w:pPr>
        <w:rPr>
          <w:rFonts w:ascii="Arial" w:hAnsi="Arial" w:cs="Arial"/>
          <w:sz w:val="12"/>
          <w:szCs w:val="12"/>
        </w:rPr>
      </w:pPr>
    </w:p>
    <w:p w14:paraId="3779D9FA" w14:textId="77777777" w:rsidR="002C1351" w:rsidRPr="007D057B" w:rsidRDefault="002C1351" w:rsidP="00102257">
      <w:pPr>
        <w:rPr>
          <w:rFonts w:ascii="Arial" w:hAnsi="Arial" w:cs="Arial"/>
          <w:sz w:val="12"/>
          <w:szCs w:val="12"/>
        </w:rPr>
      </w:pPr>
    </w:p>
    <w:p w14:paraId="68AEE538" w14:textId="1CDC3FA8" w:rsidR="001D67FA" w:rsidRPr="006B16D4" w:rsidRDefault="002C1351" w:rsidP="00102257">
      <w:pPr>
        <w:rPr>
          <w:rFonts w:ascii="Arial" w:hAnsi="Arial" w:cs="Arial"/>
          <w:sz w:val="12"/>
          <w:szCs w:val="12"/>
        </w:rPr>
      </w:pPr>
      <w:r w:rsidRPr="002C1351">
        <w:rPr>
          <w:rFonts w:ascii="Arial" w:hAnsi="Arial" w:cs="Arial"/>
          <w:sz w:val="12"/>
          <w:szCs w:val="12"/>
        </w:rPr>
        <w:drawing>
          <wp:inline distT="0" distB="0" distL="0" distR="0" wp14:anchorId="4882D7D0" wp14:editId="5E9E20D9">
            <wp:extent cx="2095500" cy="876300"/>
            <wp:effectExtent l="0" t="0" r="0" b="0"/>
            <wp:docPr id="10554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41028" name=""/>
                    <pic:cNvPicPr/>
                  </pic:nvPicPr>
                  <pic:blipFill>
                    <a:blip r:embed="rId5"/>
                    <a:stretch>
                      <a:fillRect/>
                    </a:stretch>
                  </pic:blipFill>
                  <pic:spPr>
                    <a:xfrm>
                      <a:off x="0" y="0"/>
                      <a:ext cx="2095500" cy="876300"/>
                    </a:xfrm>
                    <a:prstGeom prst="rect">
                      <a:avLst/>
                    </a:prstGeom>
                  </pic:spPr>
                </pic:pic>
              </a:graphicData>
            </a:graphic>
          </wp:inline>
        </w:drawing>
      </w:r>
    </w:p>
    <w:sectPr w:rsidR="001D67FA" w:rsidRPr="006B16D4" w:rsidSect="006B16D4">
      <w:pgSz w:w="12240" w:h="15840"/>
      <w:pgMar w:top="72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Arial Narrow MT Std">
    <w:panose1 w:val="020B05060202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Std">
    <w:panose1 w:val="020B0402020200020204"/>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22"/>
    <w:rsid w:val="00074BF6"/>
    <w:rsid w:val="0007779A"/>
    <w:rsid w:val="00102257"/>
    <w:rsid w:val="00142768"/>
    <w:rsid w:val="001B5A39"/>
    <w:rsid w:val="001C146B"/>
    <w:rsid w:val="001D67FA"/>
    <w:rsid w:val="002236E2"/>
    <w:rsid w:val="002B3BF1"/>
    <w:rsid w:val="002C1351"/>
    <w:rsid w:val="002C31D5"/>
    <w:rsid w:val="00320BEC"/>
    <w:rsid w:val="00323565"/>
    <w:rsid w:val="0033373A"/>
    <w:rsid w:val="003E4E4E"/>
    <w:rsid w:val="003F0811"/>
    <w:rsid w:val="003F67C4"/>
    <w:rsid w:val="0042407F"/>
    <w:rsid w:val="004516B5"/>
    <w:rsid w:val="00465509"/>
    <w:rsid w:val="00491643"/>
    <w:rsid w:val="004D2DA2"/>
    <w:rsid w:val="004F6B25"/>
    <w:rsid w:val="0051660B"/>
    <w:rsid w:val="00526C4A"/>
    <w:rsid w:val="00535D28"/>
    <w:rsid w:val="005925A6"/>
    <w:rsid w:val="005A3A85"/>
    <w:rsid w:val="005F1CB1"/>
    <w:rsid w:val="0060264F"/>
    <w:rsid w:val="00607684"/>
    <w:rsid w:val="00633BA2"/>
    <w:rsid w:val="006B16D4"/>
    <w:rsid w:val="006C6D57"/>
    <w:rsid w:val="007412D2"/>
    <w:rsid w:val="00754992"/>
    <w:rsid w:val="007828EA"/>
    <w:rsid w:val="007D057B"/>
    <w:rsid w:val="007D7F22"/>
    <w:rsid w:val="00805EDF"/>
    <w:rsid w:val="00816759"/>
    <w:rsid w:val="008435DF"/>
    <w:rsid w:val="008827A9"/>
    <w:rsid w:val="0090049D"/>
    <w:rsid w:val="00922F22"/>
    <w:rsid w:val="0094004D"/>
    <w:rsid w:val="00966609"/>
    <w:rsid w:val="00966D8F"/>
    <w:rsid w:val="009B338C"/>
    <w:rsid w:val="00A20A89"/>
    <w:rsid w:val="00A21A80"/>
    <w:rsid w:val="00A40D01"/>
    <w:rsid w:val="00A4545D"/>
    <w:rsid w:val="00A54A53"/>
    <w:rsid w:val="00A555F0"/>
    <w:rsid w:val="00A573D8"/>
    <w:rsid w:val="00B319E6"/>
    <w:rsid w:val="00BA524C"/>
    <w:rsid w:val="00C01430"/>
    <w:rsid w:val="00C522C5"/>
    <w:rsid w:val="00C60BAC"/>
    <w:rsid w:val="00CC7356"/>
    <w:rsid w:val="00CE1317"/>
    <w:rsid w:val="00D6505D"/>
    <w:rsid w:val="00D9228C"/>
    <w:rsid w:val="00D9394C"/>
    <w:rsid w:val="00DD6757"/>
    <w:rsid w:val="00DE5908"/>
    <w:rsid w:val="00DF393A"/>
    <w:rsid w:val="00E243AC"/>
    <w:rsid w:val="00E24752"/>
    <w:rsid w:val="00E83ED7"/>
    <w:rsid w:val="00E87C4E"/>
    <w:rsid w:val="00E97A85"/>
    <w:rsid w:val="00EC4CE0"/>
    <w:rsid w:val="00EE7000"/>
    <w:rsid w:val="00F10AE1"/>
    <w:rsid w:val="00F125A2"/>
    <w:rsid w:val="00F25912"/>
    <w:rsid w:val="00F61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9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itle">
    <w:name w:val="Pro Title"/>
    <w:basedOn w:val="Normal"/>
    <w:uiPriority w:val="99"/>
    <w:rsid w:val="00DF393A"/>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right"/>
      <w:textAlignment w:val="center"/>
    </w:pPr>
    <w:rPr>
      <w:rFonts w:ascii="Arial-BoldMT" w:hAnsi="Arial-BoldMT" w:cs="Arial-BoldMT"/>
      <w:b/>
      <w:bCs/>
      <w:color w:val="000000"/>
      <w:spacing w:val="-2"/>
      <w:sz w:val="36"/>
      <w:szCs w:val="36"/>
    </w:rPr>
  </w:style>
  <w:style w:type="paragraph" w:styleId="Header">
    <w:name w:val="header"/>
    <w:basedOn w:val="Normal"/>
    <w:link w:val="HeaderChar"/>
    <w:uiPriority w:val="99"/>
    <w:rsid w:val="00DF393A"/>
    <w:pPr>
      <w:widowControl w:val="0"/>
      <w:tabs>
        <w:tab w:val="left" w:pos="240"/>
      </w:tabs>
      <w:autoSpaceDE w:val="0"/>
      <w:autoSpaceDN w:val="0"/>
      <w:adjustRightInd w:val="0"/>
      <w:spacing w:line="288" w:lineRule="auto"/>
      <w:jc w:val="both"/>
      <w:textAlignment w:val="center"/>
    </w:pPr>
    <w:rPr>
      <w:rFonts w:ascii="ArialNarrow-Bold" w:hAnsi="ArialNarrow-Bold" w:cs="ArialNarrow-Bold"/>
      <w:b/>
      <w:bCs/>
      <w:color w:val="000000"/>
      <w:sz w:val="18"/>
      <w:szCs w:val="18"/>
    </w:rPr>
  </w:style>
  <w:style w:type="character" w:customStyle="1" w:styleId="HeaderChar">
    <w:name w:val="Header Char"/>
    <w:basedOn w:val="DefaultParagraphFont"/>
    <w:link w:val="Header"/>
    <w:uiPriority w:val="99"/>
    <w:rsid w:val="00DF393A"/>
    <w:rPr>
      <w:rFonts w:ascii="ArialNarrow-Bold" w:hAnsi="ArialNarrow-Bold" w:cs="ArialNarrow-Bold"/>
      <w:b/>
      <w:bCs/>
      <w:color w:val="000000"/>
      <w:sz w:val="18"/>
      <w:szCs w:val="18"/>
    </w:rPr>
  </w:style>
  <w:style w:type="paragraph" w:styleId="Bibliography">
    <w:name w:val="Bibliography"/>
    <w:basedOn w:val="Normal"/>
    <w:next w:val="Normal"/>
    <w:uiPriority w:val="37"/>
    <w:semiHidden/>
    <w:unhideWhenUsed/>
    <w:rsid w:val="002236E2"/>
  </w:style>
  <w:style w:type="paragraph" w:customStyle="1" w:styleId="BodyCopy">
    <w:name w:val="Body Copy"/>
    <w:basedOn w:val="Normal"/>
    <w:uiPriority w:val="99"/>
    <w:rsid w:val="002236E2"/>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both"/>
      <w:textAlignment w:val="center"/>
    </w:pPr>
    <w:rPr>
      <w:rFonts w:ascii="ArialNarrow" w:hAnsi="ArialNarrow" w:cs="ArialNarrow"/>
      <w:color w:val="000000"/>
      <w:spacing w:val="-1"/>
      <w:sz w:val="16"/>
      <w:szCs w:val="16"/>
    </w:rPr>
  </w:style>
  <w:style w:type="paragraph" w:customStyle="1" w:styleId="BoldBodycopy">
    <w:name w:val="Bold Body copy"/>
    <w:basedOn w:val="BodyCopy"/>
    <w:uiPriority w:val="99"/>
    <w:rsid w:val="002236E2"/>
    <w:pPr>
      <w:spacing w:line="190" w:lineRule="atLeast"/>
    </w:pPr>
    <w:rPr>
      <w:rFonts w:ascii="ArialNarrow-Bold" w:hAnsi="ArialNarrow-Bold" w:cs="ArialNarrow-Bold"/>
      <w:b/>
      <w:bCs/>
    </w:rPr>
  </w:style>
  <w:style w:type="paragraph" w:customStyle="1" w:styleId="instructions">
    <w:name w:val="instructions"/>
    <w:basedOn w:val="Normal"/>
    <w:uiPriority w:val="99"/>
    <w:rsid w:val="002236E2"/>
    <w:pPr>
      <w:widowControl w:val="0"/>
      <w:tabs>
        <w:tab w:val="left" w:pos="120"/>
        <w:tab w:val="left" w:pos="480"/>
        <w:tab w:val="left" w:pos="1737"/>
        <w:tab w:val="right" w:pos="2790"/>
        <w:tab w:val="left" w:pos="3381"/>
        <w:tab w:val="right" w:pos="4971"/>
      </w:tabs>
      <w:autoSpaceDE w:val="0"/>
      <w:autoSpaceDN w:val="0"/>
      <w:adjustRightInd w:val="0"/>
      <w:spacing w:line="210" w:lineRule="atLeast"/>
      <w:jc w:val="both"/>
      <w:textAlignment w:val="center"/>
    </w:pPr>
    <w:rPr>
      <w:rFonts w:ascii="ArialNarrow" w:hAnsi="ArialNarrow" w:cs="ArialNarrow"/>
      <w:color w:val="000000"/>
      <w:sz w:val="16"/>
      <w:szCs w:val="16"/>
    </w:rPr>
  </w:style>
  <w:style w:type="paragraph" w:customStyle="1" w:styleId="BodyCopyBOLD">
    <w:name w:val="Body Copy BOLD"/>
    <w:basedOn w:val="BodyCopy"/>
    <w:uiPriority w:val="99"/>
    <w:rsid w:val="00320BEC"/>
    <w:pPr>
      <w:tabs>
        <w:tab w:val="clear" w:pos="640"/>
        <w:tab w:val="clear" w:pos="840"/>
        <w:tab w:val="clear" w:pos="1040"/>
        <w:tab w:val="clear" w:pos="1240"/>
        <w:tab w:val="clear" w:pos="1640"/>
        <w:tab w:val="clear" w:pos="1840"/>
        <w:tab w:val="clear" w:pos="2040"/>
        <w:tab w:val="clear" w:pos="2240"/>
        <w:tab w:val="clear" w:pos="2440"/>
        <w:tab w:val="clear" w:pos="2840"/>
        <w:tab w:val="clear" w:pos="3040"/>
        <w:tab w:val="clear" w:pos="3240"/>
        <w:tab w:val="clear" w:pos="3440"/>
        <w:tab w:val="clear" w:pos="3640"/>
        <w:tab w:val="clear" w:pos="4040"/>
        <w:tab w:val="clear" w:pos="4240"/>
        <w:tab w:val="clear" w:pos="4440"/>
        <w:tab w:val="clear" w:pos="4640"/>
        <w:tab w:val="clear" w:pos="4840"/>
        <w:tab w:val="left" w:pos="720"/>
        <w:tab w:val="left" w:pos="960"/>
        <w:tab w:val="left" w:pos="1200"/>
        <w:tab w:val="left" w:pos="1680"/>
        <w:tab w:val="left" w:pos="1920"/>
        <w:tab w:val="left" w:pos="2160"/>
        <w:tab w:val="left" w:pos="2400"/>
        <w:tab w:val="left" w:pos="2880"/>
        <w:tab w:val="left" w:pos="3120"/>
        <w:tab w:val="left" w:pos="3360"/>
        <w:tab w:val="left" w:pos="3600"/>
        <w:tab w:val="left" w:pos="4080"/>
      </w:tabs>
    </w:pPr>
    <w:rPr>
      <w:rFonts w:ascii="ArialNarrow-Bold" w:hAnsi="ArialNarrow-Bold" w:cs="ArialNarrow-Bold"/>
      <w:b/>
      <w:bCs/>
      <w:spacing w:val="0"/>
      <w:sz w:val="18"/>
      <w:szCs w:val="18"/>
    </w:rPr>
  </w:style>
  <w:style w:type="character" w:customStyle="1" w:styleId="Shading">
    <w:name w:val="Shading"/>
    <w:uiPriority w:val="99"/>
    <w:rsid w:val="00DD6757"/>
    <w:rPr>
      <w:rFonts w:ascii="Arial Narrow MT Std" w:hAnsi="Arial Narrow MT Std" w:cs="Arial Narrow MT Std"/>
      <w:u w:val="thick" w:color="000000"/>
    </w:rPr>
  </w:style>
  <w:style w:type="paragraph" w:styleId="ListParagraph">
    <w:name w:val="List Paragraph"/>
    <w:basedOn w:val="Normal"/>
    <w:uiPriority w:val="34"/>
    <w:qFormat/>
    <w:rsid w:val="00F61CF2"/>
    <w:pPr>
      <w:ind w:left="720"/>
      <w:contextualSpacing/>
    </w:pPr>
  </w:style>
  <w:style w:type="character" w:customStyle="1" w:styleId="Shadingwithunderline">
    <w:name w:val="Shading with underline"/>
    <w:uiPriority w:val="99"/>
    <w:rsid w:val="00E24752"/>
    <w:rPr>
      <w:rFonts w:ascii="Arial Narrow MT Std" w:hAnsi="Arial Narrow MT Std" w:cs="Arial Narrow MT Std"/>
      <w:strike/>
      <w:w w:val="9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Spencer</cp:lastModifiedBy>
  <cp:revision>9</cp:revision>
  <cp:lastPrinted>2022-03-09T15:15:00Z</cp:lastPrinted>
  <dcterms:created xsi:type="dcterms:W3CDTF">2022-03-09T15:07:00Z</dcterms:created>
  <dcterms:modified xsi:type="dcterms:W3CDTF">2024-01-08T21:55:00Z</dcterms:modified>
</cp:coreProperties>
</file>