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23D91" w14:textId="77777777" w:rsidR="00ED4385" w:rsidRPr="00CE1317" w:rsidRDefault="00ED4385" w:rsidP="00ED4385">
      <w:pPr>
        <w:rPr>
          <w:rFonts w:ascii="Arial" w:hAnsi="Arial" w:cs="Arial"/>
          <w:i/>
          <w:iCs/>
          <w:sz w:val="22"/>
          <w:szCs w:val="22"/>
        </w:rPr>
      </w:pPr>
      <w:r w:rsidRPr="00CE1317">
        <w:rPr>
          <w:rFonts w:ascii="Arial" w:hAnsi="Arial" w:cs="Arial"/>
          <w:i/>
          <w:iCs/>
          <w:sz w:val="22"/>
          <w:szCs w:val="22"/>
        </w:rPr>
        <w:t>PLEASE READ!!</w:t>
      </w:r>
    </w:p>
    <w:p w14:paraId="1CE0CBC1" w14:textId="77777777" w:rsidR="00ED4385" w:rsidRPr="00CE1317" w:rsidRDefault="00ED4385" w:rsidP="00ED4385">
      <w:pPr>
        <w:rPr>
          <w:rFonts w:ascii="Arial" w:hAnsi="Arial" w:cs="Arial"/>
          <w:sz w:val="22"/>
          <w:szCs w:val="22"/>
        </w:rPr>
      </w:pPr>
    </w:p>
    <w:p w14:paraId="76F56A0D"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HELENA LABORATORIES</w:t>
      </w:r>
    </w:p>
    <w:p w14:paraId="3FF264BE"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PROCEDURE DOWNLOAD</w:t>
      </w:r>
      <w:r>
        <w:rPr>
          <w:rFonts w:ascii="Arial" w:hAnsi="Arial" w:cs="Arial"/>
          <w:b/>
          <w:bCs/>
          <w:sz w:val="20"/>
          <w:szCs w:val="20"/>
        </w:rPr>
        <w:t xml:space="preserve"> END USER AGREEMENT</w:t>
      </w:r>
    </w:p>
    <w:p w14:paraId="510F95C7" w14:textId="77777777" w:rsidR="00ED4385" w:rsidRPr="00CE1317" w:rsidRDefault="00ED4385" w:rsidP="00ED4385">
      <w:pPr>
        <w:rPr>
          <w:rFonts w:ascii="Arial" w:hAnsi="Arial" w:cs="Arial"/>
          <w:sz w:val="20"/>
          <w:szCs w:val="20"/>
        </w:rPr>
      </w:pPr>
    </w:p>
    <w:p w14:paraId="5DF1DB71" w14:textId="77777777" w:rsidR="00ED4385" w:rsidRPr="00CE1317" w:rsidRDefault="00ED4385" w:rsidP="00ED4385">
      <w:pPr>
        <w:rPr>
          <w:rFonts w:ascii="Arial" w:hAnsi="Arial" w:cs="Arial"/>
          <w:sz w:val="20"/>
          <w:szCs w:val="20"/>
        </w:rPr>
      </w:pPr>
    </w:p>
    <w:p w14:paraId="227C6A53" w14:textId="77777777" w:rsidR="00ED4385" w:rsidRPr="00CE1317" w:rsidRDefault="00ED4385" w:rsidP="00ED4385">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1A07B7B0" w14:textId="77777777" w:rsidR="00ED4385" w:rsidRPr="00CE1317" w:rsidRDefault="00ED4385" w:rsidP="00ED4385">
      <w:pPr>
        <w:rPr>
          <w:rFonts w:ascii="Arial" w:hAnsi="Arial" w:cs="Arial"/>
          <w:sz w:val="20"/>
          <w:szCs w:val="20"/>
        </w:rPr>
      </w:pPr>
    </w:p>
    <w:p w14:paraId="351EA3FE" w14:textId="77777777" w:rsidR="00ED4385" w:rsidRPr="00CE1317" w:rsidRDefault="00ED4385" w:rsidP="00ED4385">
      <w:pPr>
        <w:rPr>
          <w:rFonts w:ascii="Arial" w:hAnsi="Arial" w:cs="Arial"/>
          <w:sz w:val="20"/>
          <w:szCs w:val="20"/>
        </w:rPr>
      </w:pPr>
      <w:r w:rsidRPr="00CE1317">
        <w:rPr>
          <w:rFonts w:ascii="Arial" w:hAnsi="Arial" w:cs="Arial"/>
          <w:sz w:val="20"/>
          <w:szCs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CE1317">
        <w:rPr>
          <w:rFonts w:ascii="Arial" w:hAnsi="Arial" w:cs="Arial"/>
          <w:sz w:val="20"/>
          <w:szCs w:val="20"/>
        </w:rPr>
        <w:t>{ }</w:t>
      </w:r>
      <w:proofErr w:type="gramEnd"/>
      <w:r w:rsidRPr="00CE1317">
        <w:rPr>
          <w:rFonts w:ascii="Arial" w:hAnsi="Arial" w:cs="Arial"/>
          <w:sz w:val="20"/>
          <w:szCs w:val="20"/>
        </w:rPr>
        <w:t>.</w:t>
      </w:r>
    </w:p>
    <w:p w14:paraId="738624EE" w14:textId="77777777" w:rsidR="00ED4385" w:rsidRPr="00CE1317" w:rsidRDefault="00ED4385" w:rsidP="00ED4385">
      <w:pPr>
        <w:rPr>
          <w:rFonts w:ascii="Arial" w:hAnsi="Arial" w:cs="Arial"/>
          <w:sz w:val="20"/>
          <w:szCs w:val="20"/>
        </w:rPr>
      </w:pPr>
    </w:p>
    <w:p w14:paraId="7C43C09C" w14:textId="77777777" w:rsidR="00ED4385" w:rsidRPr="00CE1317" w:rsidRDefault="00ED4385" w:rsidP="00ED4385">
      <w:pPr>
        <w:rPr>
          <w:rFonts w:ascii="Arial" w:hAnsi="Arial" w:cs="Arial"/>
          <w:sz w:val="20"/>
          <w:szCs w:val="20"/>
        </w:rPr>
      </w:pPr>
      <w:r w:rsidRPr="00CE1317">
        <w:rPr>
          <w:rFonts w:ascii="Arial" w:hAnsi="Arial" w:cs="Arial"/>
          <w:sz w:val="20"/>
          <w:szCs w:val="20"/>
        </w:rPr>
        <w:t>WHAT YOU NEED TO KNOW:</w:t>
      </w:r>
    </w:p>
    <w:p w14:paraId="4E410E24" w14:textId="77777777" w:rsidR="00ED4385" w:rsidRPr="00CE1317" w:rsidRDefault="00ED4385" w:rsidP="00ED4385">
      <w:pPr>
        <w:rPr>
          <w:rFonts w:ascii="Arial" w:hAnsi="Arial" w:cs="Arial"/>
          <w:sz w:val="20"/>
          <w:szCs w:val="20"/>
        </w:rPr>
      </w:pPr>
    </w:p>
    <w:p w14:paraId="30C86374"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129C33F5" w14:textId="77777777" w:rsidR="00ED4385" w:rsidRPr="00CE1317" w:rsidRDefault="00ED4385" w:rsidP="00ED4385">
      <w:pPr>
        <w:rPr>
          <w:rFonts w:ascii="Arial" w:hAnsi="Arial" w:cs="Arial"/>
          <w:sz w:val="20"/>
          <w:szCs w:val="20"/>
        </w:rPr>
      </w:pPr>
    </w:p>
    <w:p w14:paraId="0D81F72D"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4DF44387" w14:textId="77777777" w:rsidR="00ED4385" w:rsidRPr="00CE1317" w:rsidRDefault="00ED4385" w:rsidP="00ED4385">
      <w:pPr>
        <w:rPr>
          <w:rFonts w:ascii="Arial" w:hAnsi="Arial" w:cs="Arial"/>
          <w:sz w:val="20"/>
          <w:szCs w:val="20"/>
        </w:rPr>
      </w:pPr>
    </w:p>
    <w:p w14:paraId="2ECF6524" w14:textId="77777777" w:rsidR="00ED4385" w:rsidRPr="00CE1317" w:rsidRDefault="00ED4385" w:rsidP="00ED4385">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6567DA69" w14:textId="77777777" w:rsidR="00ED4385" w:rsidRPr="00CE1317" w:rsidRDefault="00ED4385" w:rsidP="00ED4385">
      <w:pPr>
        <w:ind w:left="1350" w:hanging="540"/>
        <w:rPr>
          <w:rFonts w:ascii="Arial" w:hAnsi="Arial" w:cs="Arial"/>
          <w:sz w:val="20"/>
          <w:szCs w:val="20"/>
        </w:rPr>
      </w:pPr>
    </w:p>
    <w:p w14:paraId="5C32E128" w14:textId="77777777" w:rsidR="00ED4385" w:rsidRPr="00CE1317" w:rsidRDefault="00ED4385" w:rsidP="00ED4385">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6F4B4C4" w14:textId="77777777" w:rsidR="00ED4385" w:rsidRPr="00CE1317" w:rsidRDefault="00ED4385" w:rsidP="00ED4385">
      <w:pPr>
        <w:ind w:left="1350" w:hanging="540"/>
        <w:rPr>
          <w:rFonts w:ascii="Arial" w:hAnsi="Arial" w:cs="Arial"/>
          <w:sz w:val="20"/>
          <w:szCs w:val="20"/>
        </w:rPr>
      </w:pPr>
    </w:p>
    <w:p w14:paraId="14C79900" w14:textId="77777777" w:rsidR="00ED4385" w:rsidRPr="00CE1317" w:rsidRDefault="00ED4385" w:rsidP="00ED4385">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484547A7" w14:textId="77777777" w:rsidR="00ED4385" w:rsidRPr="00CE1317" w:rsidRDefault="00ED4385" w:rsidP="00ED4385">
      <w:pPr>
        <w:rPr>
          <w:rFonts w:ascii="Arial" w:hAnsi="Arial" w:cs="Arial"/>
          <w:sz w:val="20"/>
          <w:szCs w:val="20"/>
        </w:rPr>
      </w:pPr>
    </w:p>
    <w:p w14:paraId="24DAA36B"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72BBF9DD" w14:textId="77777777" w:rsidR="00ED4385" w:rsidRPr="00CE1317" w:rsidRDefault="00ED4385" w:rsidP="00ED4385">
      <w:pPr>
        <w:rPr>
          <w:rFonts w:ascii="Arial" w:hAnsi="Arial" w:cs="Arial"/>
          <w:sz w:val="20"/>
          <w:szCs w:val="20"/>
        </w:rPr>
      </w:pPr>
    </w:p>
    <w:p w14:paraId="306D83C1"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74644F50" w14:textId="77777777" w:rsidR="00ED4385" w:rsidRPr="00CE1317" w:rsidRDefault="00ED4385" w:rsidP="00ED4385">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4743A5DA"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PROCEDURE DOWNLOAD END USER AGREEMENT</w:t>
      </w:r>
    </w:p>
    <w:p w14:paraId="093E645B" w14:textId="77777777" w:rsidR="00ED4385" w:rsidRPr="00CE1317" w:rsidRDefault="00ED4385" w:rsidP="00ED4385">
      <w:pPr>
        <w:rPr>
          <w:rFonts w:ascii="Arial" w:hAnsi="Arial" w:cs="Arial"/>
          <w:sz w:val="20"/>
          <w:szCs w:val="20"/>
        </w:rPr>
      </w:pPr>
    </w:p>
    <w:p w14:paraId="399CA777" w14:textId="77777777" w:rsidR="00ED4385" w:rsidRPr="00CE1317" w:rsidRDefault="00ED4385" w:rsidP="00ED4385">
      <w:pPr>
        <w:rPr>
          <w:rFonts w:ascii="Arial" w:hAnsi="Arial" w:cs="Arial"/>
          <w:sz w:val="20"/>
          <w:szCs w:val="20"/>
        </w:rPr>
      </w:pPr>
    </w:p>
    <w:p w14:paraId="49D140BE" w14:textId="77777777" w:rsidR="00ED4385" w:rsidRPr="00CE1317" w:rsidRDefault="00ED4385" w:rsidP="00ED4385">
      <w:pPr>
        <w:rPr>
          <w:rFonts w:ascii="Arial" w:hAnsi="Arial" w:cs="Arial"/>
          <w:sz w:val="20"/>
          <w:szCs w:val="20"/>
        </w:rPr>
      </w:pPr>
    </w:p>
    <w:p w14:paraId="7BADA1EB" w14:textId="77777777" w:rsidR="00ED4385" w:rsidRPr="00CE1317" w:rsidRDefault="00ED4385" w:rsidP="00ED4385">
      <w:pPr>
        <w:rPr>
          <w:rFonts w:ascii="Arial" w:hAnsi="Arial" w:cs="Arial"/>
          <w:sz w:val="20"/>
          <w:szCs w:val="20"/>
        </w:rPr>
      </w:pPr>
      <w:r w:rsidRPr="00CE1317">
        <w:rPr>
          <w:rFonts w:ascii="Arial" w:hAnsi="Arial" w:cs="Arial"/>
          <w:sz w:val="20"/>
          <w:szCs w:val="20"/>
        </w:rPr>
        <w:t>HELENA LABORATORIES LABELING – Style/Format Outline</w:t>
      </w:r>
    </w:p>
    <w:p w14:paraId="4F29BFF6" w14:textId="77777777" w:rsidR="00ED4385" w:rsidRPr="00CE1317" w:rsidRDefault="00ED4385" w:rsidP="00ED4385">
      <w:pPr>
        <w:rPr>
          <w:rFonts w:ascii="Arial" w:hAnsi="Arial" w:cs="Arial"/>
          <w:sz w:val="20"/>
          <w:szCs w:val="20"/>
        </w:rPr>
      </w:pPr>
    </w:p>
    <w:p w14:paraId="0FB6297F" w14:textId="77777777" w:rsidR="00ED4385" w:rsidRPr="00CE1317" w:rsidRDefault="00ED4385" w:rsidP="00ED4385">
      <w:pPr>
        <w:rPr>
          <w:rFonts w:ascii="Arial" w:hAnsi="Arial" w:cs="Arial"/>
          <w:sz w:val="20"/>
          <w:szCs w:val="20"/>
        </w:rPr>
      </w:pPr>
    </w:p>
    <w:p w14:paraId="5A629A8B" w14:textId="77777777" w:rsidR="00ED4385" w:rsidRPr="00CE1317" w:rsidRDefault="00ED4385" w:rsidP="00ED4385">
      <w:pPr>
        <w:rPr>
          <w:rFonts w:ascii="Arial" w:hAnsi="Arial" w:cs="Arial"/>
          <w:sz w:val="20"/>
          <w:szCs w:val="20"/>
        </w:rPr>
      </w:pPr>
    </w:p>
    <w:p w14:paraId="13CFA32F" w14:textId="77777777" w:rsidR="00ED4385" w:rsidRPr="00CE1317" w:rsidRDefault="00ED4385" w:rsidP="00ED4385">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1FB41000" w14:textId="77777777" w:rsidR="00ED4385" w:rsidRPr="00CE1317" w:rsidRDefault="00ED4385" w:rsidP="00ED4385">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59D6A63E" w14:textId="77777777" w:rsidR="00ED4385" w:rsidRPr="00CE1317" w:rsidRDefault="00ED4385" w:rsidP="00ED4385">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1AB474FD" w14:textId="77777777" w:rsidR="00ED4385" w:rsidRPr="00CE1317" w:rsidRDefault="00ED4385" w:rsidP="00ED4385">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17F8C6EF" w14:textId="77777777" w:rsidR="00ED4385" w:rsidRPr="00CE1317" w:rsidRDefault="00ED4385" w:rsidP="00ED4385">
      <w:pPr>
        <w:rPr>
          <w:rFonts w:ascii="Arial" w:hAnsi="Arial" w:cs="Arial"/>
          <w:sz w:val="20"/>
          <w:szCs w:val="20"/>
        </w:rPr>
      </w:pPr>
      <w:r w:rsidRPr="00CE1317">
        <w:rPr>
          <w:rFonts w:ascii="Arial" w:hAnsi="Arial" w:cs="Arial"/>
          <w:sz w:val="20"/>
          <w:szCs w:val="20"/>
        </w:rPr>
        <w:tab/>
        <w:t xml:space="preserve">  {NCCLS lists SAMPLE COLLECTION/HANDLING next}</w:t>
      </w:r>
    </w:p>
    <w:p w14:paraId="3DF47B11"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67221683"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21C6898A" w14:textId="77777777" w:rsidR="00ED4385" w:rsidRPr="00CE1317" w:rsidRDefault="00ED4385" w:rsidP="00ED4385">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589746D4" w14:textId="77777777" w:rsidR="00ED4385" w:rsidRPr="00CE1317" w:rsidRDefault="00ED4385" w:rsidP="00ED4385">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3E8508BC" w14:textId="77777777" w:rsidR="00ED4385" w:rsidRPr="00CE1317" w:rsidRDefault="00ED4385" w:rsidP="00ED4385">
      <w:pPr>
        <w:rPr>
          <w:rFonts w:ascii="Arial" w:hAnsi="Arial" w:cs="Arial"/>
          <w:sz w:val="20"/>
          <w:szCs w:val="20"/>
        </w:rPr>
      </w:pPr>
      <w:r w:rsidRPr="00CE1317">
        <w:rPr>
          <w:rFonts w:ascii="Arial" w:hAnsi="Arial" w:cs="Arial"/>
          <w:sz w:val="20"/>
          <w:szCs w:val="20"/>
        </w:rPr>
        <w:tab/>
        <w:t xml:space="preserve">  {NCCLS lists QUALITY CONTROL (QC) next}</w:t>
      </w:r>
    </w:p>
    <w:p w14:paraId="10ACE659" w14:textId="77777777" w:rsidR="00ED4385" w:rsidRPr="00CE1317" w:rsidRDefault="00ED4385" w:rsidP="00ED4385">
      <w:pPr>
        <w:rPr>
          <w:rFonts w:ascii="Arial" w:hAnsi="Arial" w:cs="Arial"/>
          <w:sz w:val="20"/>
          <w:szCs w:val="20"/>
        </w:rPr>
      </w:pPr>
      <w:r w:rsidRPr="00CE1317">
        <w:rPr>
          <w:rFonts w:ascii="Arial" w:hAnsi="Arial" w:cs="Arial"/>
          <w:sz w:val="20"/>
          <w:szCs w:val="20"/>
        </w:rPr>
        <w:t xml:space="preserve"> 9)  RESULTS (calculations, as applicable; etc.)</w:t>
      </w:r>
    </w:p>
    <w:p w14:paraId="540D93D6" w14:textId="77777777" w:rsidR="00ED4385" w:rsidRPr="00CE1317" w:rsidRDefault="00ED4385" w:rsidP="00ED4385">
      <w:pPr>
        <w:rPr>
          <w:rFonts w:ascii="Arial" w:hAnsi="Arial" w:cs="Arial"/>
          <w:sz w:val="20"/>
          <w:szCs w:val="20"/>
        </w:rPr>
      </w:pPr>
      <w:r w:rsidRPr="00CE1317">
        <w:rPr>
          <w:rFonts w:ascii="Arial" w:hAnsi="Arial" w:cs="Arial"/>
          <w:sz w:val="20"/>
          <w:szCs w:val="20"/>
        </w:rPr>
        <w:t>10)  LIMITATIONS/NOTES/INTERFERENCES</w:t>
      </w:r>
    </w:p>
    <w:p w14:paraId="27ED58BA" w14:textId="77777777" w:rsidR="00ED4385" w:rsidRPr="00CE1317" w:rsidRDefault="00ED4385" w:rsidP="00ED4385">
      <w:pPr>
        <w:rPr>
          <w:rFonts w:ascii="Arial" w:hAnsi="Arial" w:cs="Arial"/>
          <w:sz w:val="20"/>
          <w:szCs w:val="20"/>
        </w:rPr>
      </w:pPr>
      <w:r w:rsidRPr="00CE1317">
        <w:rPr>
          <w:rFonts w:ascii="Arial" w:hAnsi="Arial" w:cs="Arial"/>
          <w:sz w:val="20"/>
          <w:szCs w:val="20"/>
        </w:rPr>
        <w:t>11)  EXPECTED VALUES</w:t>
      </w:r>
    </w:p>
    <w:p w14:paraId="5771A532" w14:textId="77777777" w:rsidR="00ED4385" w:rsidRPr="00CE1317" w:rsidRDefault="00ED4385" w:rsidP="00ED4385">
      <w:pPr>
        <w:rPr>
          <w:rFonts w:ascii="Arial" w:hAnsi="Arial" w:cs="Arial"/>
          <w:sz w:val="20"/>
          <w:szCs w:val="20"/>
        </w:rPr>
      </w:pPr>
      <w:r w:rsidRPr="00CE1317">
        <w:rPr>
          <w:rFonts w:ascii="Arial" w:hAnsi="Arial" w:cs="Arial"/>
          <w:sz w:val="20"/>
          <w:szCs w:val="20"/>
        </w:rPr>
        <w:t>12)  PERFORMANCE CHARACTERISTCS</w:t>
      </w:r>
    </w:p>
    <w:p w14:paraId="3DDB4FE6" w14:textId="77777777" w:rsidR="00ED4385" w:rsidRPr="00CE1317" w:rsidRDefault="00ED4385" w:rsidP="00ED4385">
      <w:pPr>
        <w:rPr>
          <w:rFonts w:ascii="Arial" w:hAnsi="Arial" w:cs="Arial"/>
          <w:sz w:val="20"/>
          <w:szCs w:val="20"/>
        </w:rPr>
      </w:pPr>
      <w:r w:rsidRPr="00CE1317">
        <w:rPr>
          <w:rFonts w:ascii="Arial" w:hAnsi="Arial" w:cs="Arial"/>
          <w:sz w:val="20"/>
          <w:szCs w:val="20"/>
        </w:rPr>
        <w:t>13)  BIBLIOGRAPHY (of pertinent references)</w:t>
      </w:r>
    </w:p>
    <w:p w14:paraId="2194F124" w14:textId="77777777" w:rsidR="00ED4385" w:rsidRPr="00CE1317" w:rsidRDefault="00ED4385" w:rsidP="00ED4385">
      <w:pPr>
        <w:rPr>
          <w:rFonts w:ascii="Arial" w:hAnsi="Arial" w:cs="Arial"/>
          <w:sz w:val="20"/>
          <w:szCs w:val="20"/>
        </w:rPr>
      </w:pPr>
      <w:r w:rsidRPr="00CE1317">
        <w:rPr>
          <w:rFonts w:ascii="Arial" w:hAnsi="Arial" w:cs="Arial"/>
          <w:sz w:val="20"/>
          <w:szCs w:val="20"/>
        </w:rPr>
        <w:t>14)  NAME AND PLACE OF BUSINESS OF MANUFACTURER</w:t>
      </w:r>
    </w:p>
    <w:p w14:paraId="69F3A999" w14:textId="77777777" w:rsidR="00ED4385" w:rsidRPr="00CE1317" w:rsidRDefault="00ED4385" w:rsidP="00ED4385">
      <w:pPr>
        <w:rPr>
          <w:rFonts w:ascii="Arial" w:hAnsi="Arial" w:cs="Arial"/>
          <w:sz w:val="20"/>
          <w:szCs w:val="20"/>
        </w:rPr>
      </w:pPr>
      <w:r w:rsidRPr="00CE1317">
        <w:rPr>
          <w:rFonts w:ascii="Arial" w:hAnsi="Arial" w:cs="Arial"/>
          <w:sz w:val="20"/>
          <w:szCs w:val="20"/>
        </w:rPr>
        <w:t>15)  DATE OF ISSUANCE OF LABELING (instructions)</w:t>
      </w:r>
    </w:p>
    <w:p w14:paraId="43BE4346" w14:textId="77777777" w:rsidR="00ED4385" w:rsidRPr="00CE1317" w:rsidRDefault="00ED4385" w:rsidP="00ED4385">
      <w:pPr>
        <w:rPr>
          <w:rFonts w:ascii="Arial" w:hAnsi="Arial" w:cs="Arial"/>
          <w:sz w:val="20"/>
          <w:szCs w:val="20"/>
        </w:rPr>
      </w:pPr>
    </w:p>
    <w:p w14:paraId="7527B575" w14:textId="77777777" w:rsidR="00ED4385" w:rsidRPr="00CE1317" w:rsidRDefault="00ED4385" w:rsidP="00ED4385">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0F695254" w14:textId="77777777" w:rsidR="00ED4385" w:rsidRPr="00CE1317" w:rsidRDefault="00ED4385" w:rsidP="00ED4385">
      <w:pPr>
        <w:rPr>
          <w:rFonts w:ascii="Arial" w:hAnsi="Arial" w:cs="Arial"/>
          <w:sz w:val="20"/>
          <w:szCs w:val="20"/>
        </w:rPr>
      </w:pPr>
    </w:p>
    <w:p w14:paraId="568807B4" w14:textId="77777777" w:rsidR="00ED4385" w:rsidRPr="00CE1317" w:rsidRDefault="00ED4385" w:rsidP="00ED4385">
      <w:pPr>
        <w:rPr>
          <w:rFonts w:ascii="Arial" w:hAnsi="Arial" w:cs="Arial"/>
          <w:sz w:val="20"/>
          <w:szCs w:val="20"/>
        </w:rPr>
      </w:pPr>
    </w:p>
    <w:p w14:paraId="3B9C5E28" w14:textId="77777777" w:rsidR="00ED4385" w:rsidRPr="00CE1317" w:rsidRDefault="00ED4385" w:rsidP="00ED4385">
      <w:pPr>
        <w:rPr>
          <w:rFonts w:ascii="Arial" w:hAnsi="Arial" w:cs="Arial"/>
          <w:sz w:val="20"/>
          <w:szCs w:val="20"/>
        </w:rPr>
      </w:pPr>
    </w:p>
    <w:p w14:paraId="78D4EF3B" w14:textId="77777777" w:rsidR="00ED4385" w:rsidRPr="00CE1317" w:rsidRDefault="00ED4385" w:rsidP="00ED4385">
      <w:pPr>
        <w:rPr>
          <w:rFonts w:ascii="Arial" w:hAnsi="Arial" w:cs="Arial"/>
          <w:sz w:val="20"/>
          <w:szCs w:val="20"/>
        </w:rPr>
      </w:pPr>
      <w:r w:rsidRPr="00CE1317">
        <w:rPr>
          <w:rFonts w:ascii="Arial" w:hAnsi="Arial" w:cs="Arial"/>
          <w:sz w:val="20"/>
          <w:szCs w:val="20"/>
        </w:rPr>
        <w:t>Form 364</w:t>
      </w:r>
    </w:p>
    <w:p w14:paraId="1BEAAE4F" w14:textId="77777777" w:rsidR="00ED4385" w:rsidRPr="00CE1317" w:rsidRDefault="00ED4385" w:rsidP="00ED4385">
      <w:pPr>
        <w:rPr>
          <w:rFonts w:ascii="Arial" w:hAnsi="Arial" w:cs="Arial"/>
          <w:sz w:val="20"/>
          <w:szCs w:val="20"/>
        </w:rPr>
      </w:pPr>
      <w:r w:rsidRPr="00CE1317">
        <w:rPr>
          <w:rFonts w:ascii="Arial" w:hAnsi="Arial" w:cs="Arial"/>
          <w:sz w:val="20"/>
          <w:szCs w:val="20"/>
        </w:rPr>
        <w:t>Helena Laboratories</w:t>
      </w:r>
    </w:p>
    <w:p w14:paraId="152DDA8D" w14:textId="77777777" w:rsidR="00ED4385" w:rsidRPr="00C522C5" w:rsidRDefault="00ED4385" w:rsidP="00ED4385">
      <w:pPr>
        <w:rPr>
          <w:rFonts w:ascii="Arial" w:hAnsi="Arial" w:cs="Arial"/>
        </w:rPr>
      </w:pPr>
      <w:r w:rsidRPr="00CE1317">
        <w:rPr>
          <w:rFonts w:ascii="Arial" w:hAnsi="Arial" w:cs="Arial"/>
          <w:sz w:val="20"/>
          <w:szCs w:val="20"/>
        </w:rPr>
        <w:t>1/2006 (Rev 3)</w:t>
      </w:r>
    </w:p>
    <w:p w14:paraId="1B262280" w14:textId="77777777" w:rsidR="005A50D8" w:rsidRDefault="002F7B56"/>
    <w:p w14:paraId="210642B9" w14:textId="77777777" w:rsidR="00ED4385" w:rsidRDefault="00ED4385"/>
    <w:p w14:paraId="083A6BDB" w14:textId="77777777" w:rsidR="00ED4385" w:rsidRDefault="00ED4385"/>
    <w:p w14:paraId="44487053" w14:textId="77777777" w:rsidR="00ED4385" w:rsidRDefault="00ED4385"/>
    <w:p w14:paraId="2A09E9BC" w14:textId="77777777" w:rsidR="00ED4385" w:rsidRDefault="00ED4385"/>
    <w:p w14:paraId="59589302" w14:textId="77777777" w:rsidR="00ED4385" w:rsidRDefault="00ED4385"/>
    <w:p w14:paraId="360C9908" w14:textId="77777777" w:rsidR="00ED4385" w:rsidRDefault="00ED4385"/>
    <w:p w14:paraId="1C579190" w14:textId="77777777" w:rsidR="00ED4385" w:rsidRDefault="00ED4385"/>
    <w:p w14:paraId="667809FE" w14:textId="77777777" w:rsidR="00ED4385" w:rsidRDefault="00ED4385"/>
    <w:p w14:paraId="26243675" w14:textId="77777777" w:rsidR="00ED4385" w:rsidRDefault="00ED4385"/>
    <w:p w14:paraId="5649F088" w14:textId="77777777" w:rsidR="00ED4385" w:rsidRDefault="00ED4385"/>
    <w:p w14:paraId="6D9D7CED" w14:textId="77777777" w:rsidR="00ED4385" w:rsidRDefault="00ED4385"/>
    <w:p w14:paraId="4DCE830A" w14:textId="77777777" w:rsidR="001830DD" w:rsidRDefault="001830DD" w:rsidP="001830DD">
      <w:pPr>
        <w:pStyle w:val="ProTitle"/>
        <w:jc w:val="left"/>
        <w:rPr>
          <w:rFonts w:asciiTheme="minorHAnsi" w:hAnsiTheme="minorHAnsi" w:cstheme="minorBidi"/>
          <w:b w:val="0"/>
          <w:bCs w:val="0"/>
          <w:color w:val="auto"/>
          <w:spacing w:val="0"/>
          <w:sz w:val="24"/>
          <w:szCs w:val="24"/>
        </w:rPr>
      </w:pPr>
    </w:p>
    <w:p w14:paraId="0685E2B0" w14:textId="77777777" w:rsidR="008E4030" w:rsidRDefault="008E4030" w:rsidP="001830DD">
      <w:pPr>
        <w:pStyle w:val="ProTitle"/>
        <w:jc w:val="left"/>
        <w:rPr>
          <w:rFonts w:ascii="Arial" w:hAnsi="Arial" w:cs="Arial"/>
        </w:rPr>
      </w:pPr>
    </w:p>
    <w:p w14:paraId="59563B6C" w14:textId="77777777" w:rsidR="008E4030" w:rsidRDefault="008E4030" w:rsidP="001830DD">
      <w:pPr>
        <w:pStyle w:val="ProTitle"/>
        <w:jc w:val="left"/>
        <w:rPr>
          <w:rFonts w:ascii="Arial" w:hAnsi="Arial" w:cs="Arial"/>
        </w:rPr>
      </w:pPr>
    </w:p>
    <w:p w14:paraId="5C3294FF" w14:textId="77777777" w:rsidR="008E4030" w:rsidRDefault="008E4030" w:rsidP="001830DD">
      <w:pPr>
        <w:pStyle w:val="ProTitle"/>
        <w:jc w:val="left"/>
        <w:rPr>
          <w:rFonts w:ascii="Arial" w:hAnsi="Arial" w:cs="Arial"/>
        </w:rPr>
      </w:pPr>
    </w:p>
    <w:p w14:paraId="1B8AD0A8" w14:textId="77777777" w:rsidR="008E4030" w:rsidRDefault="008E4030" w:rsidP="008E4030">
      <w:pPr>
        <w:pStyle w:val="ProTitle"/>
        <w:rPr>
          <w:rFonts w:ascii="Arial" w:hAnsi="Arial" w:cs="Arial"/>
          <w:sz w:val="13"/>
          <w:szCs w:val="13"/>
        </w:rPr>
      </w:pPr>
    </w:p>
    <w:p w14:paraId="063CB7A5" w14:textId="3F7BDD9E" w:rsidR="008E4030" w:rsidRDefault="00652F9A" w:rsidP="00652F9A">
      <w:pPr>
        <w:pStyle w:val="ProTitle"/>
        <w:rPr>
          <w:rFonts w:ascii="Arial" w:hAnsi="Arial" w:cs="Arial"/>
        </w:rPr>
      </w:pPr>
      <w:r>
        <w:rPr>
          <w:rFonts w:ascii="Arial" w:hAnsi="Arial" w:cs="Arial"/>
        </w:rPr>
        <w:t>SPIFE</w:t>
      </w:r>
      <w:r w:rsidR="008E4030" w:rsidRPr="004776CF">
        <w:rPr>
          <w:rFonts w:ascii="Arial" w:hAnsi="Arial" w:cs="Arial"/>
          <w:vertAlign w:val="superscript"/>
        </w:rPr>
        <w:t>®</w:t>
      </w:r>
      <w:r w:rsidR="008E4030" w:rsidRPr="008E4030">
        <w:rPr>
          <w:rFonts w:ascii="Arial" w:hAnsi="Arial" w:cs="Arial"/>
        </w:rPr>
        <w:t xml:space="preserve"> </w:t>
      </w:r>
      <w:r>
        <w:rPr>
          <w:rFonts w:ascii="Arial" w:hAnsi="Arial" w:cs="Arial"/>
        </w:rPr>
        <w:t>Touch Alkaline Phosphatase</w:t>
      </w:r>
    </w:p>
    <w:p w14:paraId="2E7AFE55" w14:textId="0DF1CEF8" w:rsidR="00652F9A" w:rsidRDefault="00652F9A" w:rsidP="00652F9A">
      <w:pPr>
        <w:pStyle w:val="ProTitle"/>
        <w:rPr>
          <w:rFonts w:ascii="Arial" w:hAnsi="Arial" w:cs="Arial"/>
        </w:rPr>
      </w:pPr>
      <w:r>
        <w:rPr>
          <w:rFonts w:ascii="Arial" w:hAnsi="Arial" w:cs="Arial"/>
        </w:rPr>
        <w:t>(ALP) Isoenzyme Procedure</w:t>
      </w:r>
    </w:p>
    <w:p w14:paraId="4978EDB9" w14:textId="77777777" w:rsidR="008E4030" w:rsidRDefault="008E4030" w:rsidP="001830DD"/>
    <w:p w14:paraId="3AF98E3A" w14:textId="77777777" w:rsidR="00652F9A" w:rsidRDefault="00652F9A" w:rsidP="00652F9A">
      <w:pPr>
        <w:pStyle w:val="Bodycopybold"/>
        <w:rPr>
          <w:rFonts w:ascii="ArialNarrowMTStd-Bold" w:hAnsi="ArialNarrowMTStd-Bold" w:cs="ArialNarrowMTStd-Bold"/>
        </w:rPr>
      </w:pPr>
      <w:r>
        <w:rPr>
          <w:rFonts w:ascii="ArialNarrowMTStd-Bold" w:hAnsi="ArialNarrowMTStd-Bold" w:cs="ArialNarrowMTStd-Bold"/>
        </w:rPr>
        <w:t>Cat. No. 3345, 3346</w:t>
      </w:r>
    </w:p>
    <w:p w14:paraId="109DA809" w14:textId="77777777" w:rsidR="00652F9A" w:rsidRDefault="00652F9A" w:rsidP="00652F9A">
      <w:pPr>
        <w:pStyle w:val="BodyCopy"/>
        <w:rPr>
          <w:rFonts w:ascii="ArialNarrowMTStd" w:hAnsi="ArialNarrowMTStd" w:cs="ArialNarrowMTStd"/>
        </w:rPr>
      </w:pPr>
    </w:p>
    <w:p w14:paraId="1E1C8770" w14:textId="77777777" w:rsidR="00652F9A" w:rsidRDefault="00652F9A" w:rsidP="00652F9A">
      <w:pPr>
        <w:pStyle w:val="BodyCopy"/>
        <w:rPr>
          <w:rFonts w:ascii="ArialNarrowMTStd" w:hAnsi="ArialNarrowMTStd" w:cs="ArialNarrowMTStd"/>
        </w:rPr>
      </w:pPr>
      <w:r>
        <w:rPr>
          <w:rFonts w:ascii="ArialNarrowMTStd" w:hAnsi="ArialNarrowMTStd" w:cs="ArialNarrowMTStd"/>
        </w:rPr>
        <w:t>The SPIFE Touch Alkaline Phosphatase (ALP) Isoenzyme procedure is intended for the qualitative and/or semi-quantitative determination of serum alkaline phosphatase isoenzymes using specimen pretreatment with neuraminidase and agarose electrophoresis on the SPIFE Touch system.</w:t>
      </w:r>
    </w:p>
    <w:p w14:paraId="47848657" w14:textId="77777777" w:rsidR="00652F9A" w:rsidRPr="00652F9A" w:rsidRDefault="00652F9A" w:rsidP="00652F9A">
      <w:pPr>
        <w:pStyle w:val="Header"/>
        <w:rPr>
          <w:rFonts w:ascii="ArialNarrowMTStd" w:hAnsi="ArialNarrowMTStd" w:cs="ArialNarrowMTStd"/>
        </w:rPr>
      </w:pPr>
      <w:r w:rsidRPr="00652F9A">
        <w:rPr>
          <w:rFonts w:ascii="ArialNarrowMTStd" w:hAnsi="ArialNarrowMTStd" w:cs="ArialNarrowMTStd"/>
        </w:rPr>
        <w:t>SUMMARY</w:t>
      </w:r>
    </w:p>
    <w:p w14:paraId="4222895A" w14:textId="77777777" w:rsidR="00652F9A" w:rsidRDefault="00652F9A" w:rsidP="00652F9A">
      <w:pPr>
        <w:pStyle w:val="BodyCopy"/>
        <w:rPr>
          <w:rFonts w:ascii="ArialNarrowMTStd" w:hAnsi="ArialNarrowMTStd" w:cs="ArialNarrowMTStd"/>
        </w:rPr>
      </w:pPr>
      <w:r>
        <w:rPr>
          <w:rFonts w:ascii="ArialNarrowMTStd" w:hAnsi="ArialNarrowMTStd" w:cs="ArialNarrowMTStd"/>
        </w:rPr>
        <w:t xml:space="preserve">Alkaline phosphatase (ALP) (EC 3.1.3.1.) is an enzyme which catalyzes the hydrolysis of phosphate esters at an alkaline </w:t>
      </w:r>
      <w:proofErr w:type="spellStart"/>
      <w:r>
        <w:rPr>
          <w:rFonts w:ascii="ArialNarrowMTStd" w:hAnsi="ArialNarrowMTStd" w:cs="ArialNarrowMTStd"/>
        </w:rPr>
        <w:t>pH.</w:t>
      </w:r>
      <w:proofErr w:type="spellEnd"/>
      <w:r>
        <w:rPr>
          <w:rFonts w:ascii="ArialNarrowMTStd" w:hAnsi="ArialNarrowMTStd" w:cs="ArialNarrowMTStd"/>
        </w:rPr>
        <w:t xml:space="preserve"> The greatest concentrations of ALP are found in bone, liver, intestine and the placenta. However, practically every body tissue contains at least a small amount of ALP. Because of this wide distribution, limited information can be obtained from a total ALP assay. </w:t>
      </w:r>
      <w:proofErr w:type="gramStart"/>
      <w:r>
        <w:rPr>
          <w:rFonts w:ascii="ArialNarrowMTStd" w:hAnsi="ArialNarrowMTStd" w:cs="ArialNarrowMTStd"/>
        </w:rPr>
        <w:t>Fortunately</w:t>
      </w:r>
      <w:proofErr w:type="gramEnd"/>
      <w:r>
        <w:rPr>
          <w:rFonts w:ascii="ArialNarrowMTStd" w:hAnsi="ArialNarrowMTStd" w:cs="ArialNarrowMTStd"/>
        </w:rPr>
        <w:t xml:space="preserve"> each source of ALP produces one predominant isoenzyme, and the tissue source of elevated ALP in serum can be determined by identifying the isoenzyme. The isoenzymes of ALP differ in their physiochemical and electrophoretic properties and, by taking advantage of these differences, the individual isoenzymes can be identified.</w:t>
      </w:r>
      <w:r>
        <w:rPr>
          <w:rFonts w:ascii="ArialNarrowMTStd" w:hAnsi="ArialNarrowMTStd" w:cs="ArialNarrowMTStd"/>
          <w:vertAlign w:val="superscript"/>
        </w:rPr>
        <w:t xml:space="preserve">1 </w:t>
      </w:r>
      <w:r>
        <w:rPr>
          <w:rFonts w:ascii="ArialNarrowMTStd" w:hAnsi="ArialNarrowMTStd" w:cs="ArialNarrowMTStd"/>
        </w:rPr>
        <w:t xml:space="preserve">In addition to the liver, bone, intestinal and </w:t>
      </w:r>
      <w:proofErr w:type="spellStart"/>
      <w:r>
        <w:rPr>
          <w:rFonts w:ascii="ArialNarrowMTStd" w:hAnsi="ArialNarrowMTStd" w:cs="ArialNarrowMTStd"/>
        </w:rPr>
        <w:t>macrohepatic</w:t>
      </w:r>
      <w:proofErr w:type="spellEnd"/>
      <w:r>
        <w:rPr>
          <w:rFonts w:ascii="ArialNarrowMTStd" w:hAnsi="ArialNarrowMTStd" w:cs="ArialNarrowMTStd"/>
        </w:rPr>
        <w:t xml:space="preserve"> isoenzymes, other ALP isoenzymes have been identified in serum. These include placental, Regan, Nagao, PA and renal isoenzymes. The presence of these isoenzymes may interfere with the identification and quantitation of bone and liver by electrophoretic methods.</w:t>
      </w:r>
    </w:p>
    <w:p w14:paraId="41FC220E" w14:textId="77777777" w:rsidR="00652F9A" w:rsidRDefault="00652F9A" w:rsidP="00652F9A">
      <w:pPr>
        <w:pStyle w:val="BodyCopy"/>
        <w:rPr>
          <w:rFonts w:ascii="ArialNarrowMTStd" w:hAnsi="ArialNarrowMTStd" w:cs="ArialNarrowMTStd"/>
          <w:spacing w:val="-2"/>
        </w:rPr>
      </w:pPr>
      <w:r>
        <w:rPr>
          <w:rFonts w:ascii="ArialNarrowMTStd" w:hAnsi="ArialNarrowMTStd" w:cs="ArialNarrowMTStd"/>
          <w:spacing w:val="-2"/>
        </w:rPr>
        <w:t>A number of laboratory procedures have been used for the routine evaluation of the ALP isoenzymes. These include heat inactivation</w:t>
      </w:r>
      <w:r>
        <w:rPr>
          <w:rFonts w:ascii="ArialNarrowMTStd" w:hAnsi="ArialNarrowMTStd" w:cs="ArialNarrowMTStd"/>
          <w:spacing w:val="-2"/>
          <w:vertAlign w:val="superscript"/>
        </w:rPr>
        <w:t>2</w:t>
      </w:r>
      <w:r>
        <w:rPr>
          <w:rFonts w:ascii="ArialNarrowMTStd" w:hAnsi="ArialNarrowMTStd" w:cs="ArialNarrowMTStd"/>
          <w:spacing w:val="-2"/>
        </w:rPr>
        <w:t>, inhibition with amino acids</w:t>
      </w:r>
      <w:r>
        <w:rPr>
          <w:rFonts w:ascii="ArialNarrowMTStd" w:hAnsi="ArialNarrowMTStd" w:cs="ArialNarrowMTStd"/>
          <w:spacing w:val="-2"/>
          <w:vertAlign w:val="superscript"/>
        </w:rPr>
        <w:t>3-5</w:t>
      </w:r>
      <w:r>
        <w:rPr>
          <w:rFonts w:ascii="ArialNarrowMTStd" w:hAnsi="ArialNarrowMTStd" w:cs="ArialNarrowMTStd"/>
          <w:spacing w:val="-2"/>
        </w:rPr>
        <w:t>, urea denaturation</w:t>
      </w:r>
      <w:r>
        <w:rPr>
          <w:rFonts w:ascii="ArialNarrowMTStd" w:hAnsi="ArialNarrowMTStd" w:cs="ArialNarrowMTStd"/>
          <w:spacing w:val="-2"/>
          <w:vertAlign w:val="superscript"/>
        </w:rPr>
        <w:t>3-4</w:t>
      </w:r>
      <w:r>
        <w:rPr>
          <w:rFonts w:ascii="ArialNarrowMTStd" w:hAnsi="ArialNarrowMTStd" w:cs="ArialNarrowMTStd"/>
          <w:spacing w:val="-2"/>
        </w:rPr>
        <w:t xml:space="preserve"> and electrophoresis on agarose</w:t>
      </w:r>
      <w:r>
        <w:rPr>
          <w:rFonts w:ascii="ArialNarrowMTStd" w:hAnsi="ArialNarrowMTStd" w:cs="ArialNarrowMTStd"/>
          <w:spacing w:val="-2"/>
          <w:vertAlign w:val="superscript"/>
        </w:rPr>
        <w:t>6</w:t>
      </w:r>
      <w:r>
        <w:rPr>
          <w:rFonts w:ascii="ArialNarrowMTStd" w:hAnsi="ArialNarrowMTStd" w:cs="ArialNarrowMTStd"/>
          <w:spacing w:val="-2"/>
        </w:rPr>
        <w:t>, paper</w:t>
      </w:r>
      <w:r>
        <w:rPr>
          <w:rFonts w:ascii="ArialNarrowMTStd" w:hAnsi="ArialNarrowMTStd" w:cs="ArialNarrowMTStd"/>
          <w:spacing w:val="-2"/>
          <w:vertAlign w:val="superscript"/>
        </w:rPr>
        <w:t>7</w:t>
      </w:r>
      <w:r>
        <w:rPr>
          <w:rFonts w:ascii="ArialNarrowMTStd" w:hAnsi="ArialNarrowMTStd" w:cs="ArialNarrowMTStd"/>
          <w:spacing w:val="-2"/>
        </w:rPr>
        <w:t>, starch gel</w:t>
      </w:r>
      <w:r>
        <w:rPr>
          <w:rFonts w:ascii="ArialNarrowMTStd" w:hAnsi="ArialNarrowMTStd" w:cs="ArialNarrowMTStd"/>
          <w:spacing w:val="-2"/>
          <w:vertAlign w:val="superscript"/>
        </w:rPr>
        <w:t>8,14,15</w:t>
      </w:r>
      <w:r>
        <w:rPr>
          <w:rFonts w:ascii="ArialNarrowMTStd" w:hAnsi="ArialNarrowMTStd" w:cs="ArialNarrowMTStd"/>
          <w:spacing w:val="-2"/>
        </w:rPr>
        <w:t>, polyacrylamide gel</w:t>
      </w:r>
      <w:r>
        <w:rPr>
          <w:rFonts w:ascii="ArialNarrowMTStd" w:hAnsi="ArialNarrowMTStd" w:cs="ArialNarrowMTStd"/>
          <w:spacing w:val="-2"/>
          <w:vertAlign w:val="superscript"/>
        </w:rPr>
        <w:t>9,16</w:t>
      </w:r>
      <w:r>
        <w:rPr>
          <w:rFonts w:ascii="ArialNarrowMTStd" w:hAnsi="ArialNarrowMTStd" w:cs="ArialNarrowMTStd"/>
          <w:spacing w:val="-2"/>
        </w:rPr>
        <w:t xml:space="preserve"> and cellulose acetate.</w:t>
      </w:r>
      <w:r>
        <w:rPr>
          <w:rFonts w:ascii="ArialNarrowMTStd" w:hAnsi="ArialNarrowMTStd" w:cs="ArialNarrowMTStd"/>
          <w:spacing w:val="-2"/>
          <w:vertAlign w:val="superscript"/>
        </w:rPr>
        <w:t>10-12</w:t>
      </w:r>
    </w:p>
    <w:p w14:paraId="00B33D32" w14:textId="77777777" w:rsidR="00652F9A" w:rsidRDefault="00652F9A" w:rsidP="00652F9A">
      <w:pPr>
        <w:pStyle w:val="BodyCopy"/>
        <w:rPr>
          <w:rFonts w:ascii="ArialNarrowMTStd" w:hAnsi="ArialNarrowMTStd" w:cs="ArialNarrowMTStd"/>
        </w:rPr>
      </w:pPr>
      <w:r>
        <w:rPr>
          <w:rFonts w:ascii="ArialNarrowMTStd" w:hAnsi="ArialNarrowMTStd" w:cs="ArialNarrowMTStd"/>
        </w:rPr>
        <w:t xml:space="preserve">The SPIFE Touch Alkaline Phosphatase method offers several advantages over all existing methods in that </w:t>
      </w:r>
      <w:proofErr w:type="spellStart"/>
      <w:r>
        <w:rPr>
          <w:rFonts w:ascii="ArialNarrowMTStd" w:hAnsi="ArialNarrowMTStd" w:cs="ArialNarrowMTStd"/>
        </w:rPr>
        <w:t>macrohepatic</w:t>
      </w:r>
      <w:proofErr w:type="spellEnd"/>
      <w:r>
        <w:rPr>
          <w:rFonts w:ascii="ArialNarrowMTStd" w:hAnsi="ArialNarrowMTStd" w:cs="ArialNarrowMTStd"/>
        </w:rPr>
        <w:t>, liver, bone and intestine are all clearly separated.</w:t>
      </w:r>
    </w:p>
    <w:p w14:paraId="773F4CED" w14:textId="77777777" w:rsidR="00652F9A" w:rsidRPr="00652F9A" w:rsidRDefault="00652F9A" w:rsidP="00652F9A">
      <w:pPr>
        <w:pStyle w:val="Header"/>
        <w:rPr>
          <w:rFonts w:ascii="ArialNarrowMTStd" w:hAnsi="ArialNarrowMTStd" w:cs="ArialNarrowMTStd"/>
        </w:rPr>
      </w:pPr>
      <w:r w:rsidRPr="00652F9A">
        <w:rPr>
          <w:rFonts w:ascii="ArialNarrowMTStd" w:hAnsi="ArialNarrowMTStd" w:cs="ArialNarrowMTStd"/>
        </w:rPr>
        <w:t>PRINCIPLE</w:t>
      </w:r>
    </w:p>
    <w:p w14:paraId="52770EEB" w14:textId="77777777" w:rsidR="00652F9A" w:rsidRDefault="00652F9A" w:rsidP="00652F9A">
      <w:pPr>
        <w:pStyle w:val="BodyCopy"/>
        <w:rPr>
          <w:rFonts w:ascii="ArialNarrowMTStd" w:hAnsi="ArialNarrowMTStd" w:cs="ArialNarrowMTStd"/>
        </w:rPr>
      </w:pPr>
      <w:r>
        <w:rPr>
          <w:rFonts w:ascii="ArialNarrowMTStd" w:hAnsi="ArialNarrowMTStd" w:cs="ArialNarrowMTStd"/>
        </w:rPr>
        <w:t>The SPIFE Touch Alkaline Phosphatase Isoenzyme procedure is a high resolution method, and the isoenzyme migrations differ from those seen in conventional isoenzyme electrophoretic methods.</w:t>
      </w:r>
    </w:p>
    <w:p w14:paraId="3C842543" w14:textId="77777777" w:rsidR="00652F9A" w:rsidRDefault="00652F9A" w:rsidP="00652F9A">
      <w:pPr>
        <w:pStyle w:val="BodyCopy"/>
        <w:rPr>
          <w:rFonts w:ascii="ArialNarrowMTStd" w:hAnsi="ArialNarrowMTStd" w:cs="ArialNarrowMTStd"/>
        </w:rPr>
      </w:pPr>
      <w:r>
        <w:rPr>
          <w:rFonts w:ascii="ArialNarrowMTStd" w:hAnsi="ArialNarrowMTStd" w:cs="ArialNarrowMTStd"/>
        </w:rPr>
        <w:t>Certain specific neuraminidases remove sialic acid from enzymes, reducing the net negative charge, thus affecting their anodal electrophoretic mobility.</w:t>
      </w:r>
      <w:r>
        <w:rPr>
          <w:rFonts w:ascii="ArialNarrowMTStd" w:hAnsi="ArialNarrowMTStd" w:cs="ArialNarrowMTStd"/>
          <w:vertAlign w:val="superscript"/>
        </w:rPr>
        <w:t xml:space="preserve">13 </w:t>
      </w:r>
      <w:r>
        <w:rPr>
          <w:rFonts w:ascii="ArialNarrowMTStd" w:hAnsi="ArialNarrowMTStd" w:cs="ArialNarrowMTStd"/>
        </w:rPr>
        <w:t>Since bone alkaline phosphatase contains more sialic acid than the liver isoenzyme, the neuraminidase causes a greater reduction in mobility of the bone enzyme than the liver isoenzyme.</w:t>
      </w:r>
      <w:r>
        <w:rPr>
          <w:rFonts w:ascii="ArialNarrowMTStd" w:hAnsi="ArialNarrowMTStd" w:cs="ArialNarrowMTStd"/>
          <w:vertAlign w:val="superscript"/>
        </w:rPr>
        <w:t xml:space="preserve">13 </w:t>
      </w:r>
      <w:r>
        <w:rPr>
          <w:rFonts w:ascii="ArialNarrowMTStd" w:hAnsi="ArialNarrowMTStd" w:cs="ArialNarrowMTStd"/>
        </w:rPr>
        <w:t xml:space="preserve">Taking advantage of this results in greater separation of these two isoenzymes. The </w:t>
      </w:r>
      <w:proofErr w:type="spellStart"/>
      <w:r>
        <w:rPr>
          <w:rFonts w:ascii="ArialNarrowMTStd" w:hAnsi="ArialNarrowMTStd" w:cs="ArialNarrowMTStd"/>
        </w:rPr>
        <w:t>macrohepatic</w:t>
      </w:r>
      <w:proofErr w:type="spellEnd"/>
      <w:r>
        <w:rPr>
          <w:rFonts w:ascii="ArialNarrowMTStd" w:hAnsi="ArialNarrowMTStd" w:cs="ArialNarrowMTStd"/>
        </w:rPr>
        <w:t xml:space="preserve"> alkaline phosphatase isoenzyme is also affected by neuraminidase, so that it electrophoreses with the bone fraction when non-high-resolution techniques are used.</w:t>
      </w:r>
    </w:p>
    <w:p w14:paraId="349657A7" w14:textId="77777777" w:rsidR="00652F9A" w:rsidRDefault="00652F9A" w:rsidP="00652F9A">
      <w:pPr>
        <w:pStyle w:val="BodyCopy"/>
        <w:rPr>
          <w:rFonts w:ascii="ArialNarrowMTStd" w:hAnsi="ArialNarrowMTStd" w:cs="ArialNarrowMTStd"/>
        </w:rPr>
      </w:pPr>
      <w:r>
        <w:rPr>
          <w:rFonts w:ascii="ArialNarrowMTStd" w:hAnsi="ArialNarrowMTStd" w:cs="ArialNarrowMTStd"/>
        </w:rPr>
        <w:t xml:space="preserve">The use of a detergent in the agarose allows the separation of the bone and </w:t>
      </w:r>
      <w:proofErr w:type="spellStart"/>
      <w:r>
        <w:rPr>
          <w:rFonts w:ascii="ArialNarrowMTStd" w:hAnsi="ArialNarrowMTStd" w:cs="ArialNarrowMTStd"/>
        </w:rPr>
        <w:t>macrohepatic</w:t>
      </w:r>
      <w:proofErr w:type="spellEnd"/>
      <w:r>
        <w:rPr>
          <w:rFonts w:ascii="ArialNarrowMTStd" w:hAnsi="ArialNarrowMTStd" w:cs="ArialNarrowMTStd"/>
        </w:rPr>
        <w:t xml:space="preserve"> alkaline phosphatase bands, causing the latter band to move slower. The presence of the intestinal isoenzyme does not interfere with electrophoretic patterns, since its mobility is unaffected by neuraminidase.</w:t>
      </w:r>
      <w:r>
        <w:rPr>
          <w:rFonts w:ascii="ArialNarrowMTStd" w:hAnsi="ArialNarrowMTStd" w:cs="ArialNarrowMTStd"/>
          <w:vertAlign w:val="superscript"/>
        </w:rPr>
        <w:t xml:space="preserve">13,15 </w:t>
      </w:r>
      <w:r>
        <w:rPr>
          <w:rFonts w:ascii="ArialNarrowMTStd" w:hAnsi="ArialNarrowMTStd" w:cs="ArialNarrowMTStd"/>
        </w:rPr>
        <w:t xml:space="preserve">Combining sample pretreatment and high resolution techniques allows the system to separate all four ALP isoenzymes (liver, bone, </w:t>
      </w:r>
      <w:proofErr w:type="spellStart"/>
      <w:r>
        <w:rPr>
          <w:rFonts w:ascii="ArialNarrowMTStd" w:hAnsi="ArialNarrowMTStd" w:cs="ArialNarrowMTStd"/>
        </w:rPr>
        <w:t>macrohepatic</w:t>
      </w:r>
      <w:proofErr w:type="spellEnd"/>
      <w:r>
        <w:rPr>
          <w:rFonts w:ascii="ArialNarrowMTStd" w:hAnsi="ArialNarrowMTStd" w:cs="ArialNarrowMTStd"/>
        </w:rPr>
        <w:t xml:space="preserve"> and intestine).</w:t>
      </w:r>
    </w:p>
    <w:p w14:paraId="06AD731E" w14:textId="77777777" w:rsidR="00652F9A" w:rsidRDefault="00652F9A" w:rsidP="00652F9A">
      <w:pPr>
        <w:pStyle w:val="BodyCopy"/>
        <w:rPr>
          <w:rFonts w:ascii="ArialNarrowMTStd" w:hAnsi="ArialNarrowMTStd" w:cs="ArialNarrowMTStd"/>
        </w:rPr>
      </w:pPr>
      <w:r>
        <w:rPr>
          <w:rFonts w:ascii="ArialNarrowMTStd" w:hAnsi="ArialNarrowMTStd" w:cs="ArialNarrowMTStd"/>
        </w:rPr>
        <w:t>The data generated can be used as a clinical tool in the diagnosis and treatment of liver, bone, parathyroid and intestinal disorders. This high resolution system may separate three intestinal fractions, but the clinical significance of these has not been determined. The enzyme activity is developed using BCIP as the substrate and AMP as the phosphate acceptor.</w:t>
      </w:r>
    </w:p>
    <w:p w14:paraId="47260A62" w14:textId="77777777" w:rsidR="00652F9A" w:rsidRPr="00652F9A" w:rsidRDefault="00652F9A" w:rsidP="00652F9A">
      <w:pPr>
        <w:pStyle w:val="Header"/>
        <w:rPr>
          <w:rFonts w:ascii="ArialNarrowMTStd" w:hAnsi="ArialNarrowMTStd" w:cs="ArialNarrowMTStd"/>
        </w:rPr>
      </w:pPr>
      <w:r w:rsidRPr="00652F9A">
        <w:rPr>
          <w:rFonts w:ascii="ArialNarrowMTStd" w:hAnsi="ArialNarrowMTStd" w:cs="ArialNarrowMTStd"/>
        </w:rPr>
        <w:t>REAGENTS</w:t>
      </w:r>
    </w:p>
    <w:p w14:paraId="19692C31" w14:textId="77777777" w:rsidR="00652F9A" w:rsidRPr="00652F9A" w:rsidRDefault="00652F9A" w:rsidP="00652F9A">
      <w:pPr>
        <w:pStyle w:val="Bodycopybold"/>
        <w:rPr>
          <w:rFonts w:ascii="ArialNarrowMTStd" w:hAnsi="ArialNarrowMTStd" w:cs="ArialNarrowMTStd"/>
        </w:rPr>
      </w:pPr>
      <w:r w:rsidRPr="00652F9A">
        <w:rPr>
          <w:rFonts w:ascii="ArialNarrowMTStd" w:hAnsi="ArialNarrowMTStd" w:cs="ArialNarrowMTStd"/>
        </w:rPr>
        <w:t>1.</w:t>
      </w:r>
      <w:r w:rsidRPr="00652F9A">
        <w:rPr>
          <w:rFonts w:ascii="ArialNarrowMTStd" w:hAnsi="ArialNarrowMTStd" w:cs="ArialNarrowMTStd"/>
        </w:rPr>
        <w:tab/>
        <w:t>SPIFE Alkaline Phosphatase Gel</w:t>
      </w:r>
    </w:p>
    <w:p w14:paraId="72D11E6D" w14:textId="77777777" w:rsidR="00652F9A" w:rsidRDefault="00652F9A" w:rsidP="00652F9A">
      <w:pPr>
        <w:pStyle w:val="BodyCopy"/>
        <w:tabs>
          <w:tab w:val="clear" w:pos="220"/>
          <w:tab w:val="clear" w:pos="440"/>
          <w:tab w:val="clear" w:pos="640"/>
          <w:tab w:val="clear" w:pos="840"/>
          <w:tab w:val="left" w:pos="217"/>
        </w:tabs>
        <w:rPr>
          <w:rFonts w:ascii="ArialNarrowMTStd" w:hAnsi="ArialNarrowMTStd" w:cs="ArialNarrowMTStd"/>
        </w:rPr>
      </w:pPr>
      <w:r w:rsidRPr="00652F9A">
        <w:rPr>
          <w:rFonts w:ascii="ArialNarrowMTStd-Bold" w:hAnsi="ArialNarrowMTStd-Bold" w:cs="ArialNarrowMTStd-Bold"/>
          <w:b/>
          <w:bCs/>
        </w:rPr>
        <w:tab/>
      </w:r>
      <w:r w:rsidRPr="00652F9A">
        <w:rPr>
          <w:rFonts w:ascii="ArialNarrowMTStd-Bold" w:hAnsi="ArialNarrowMTStd-Bold" w:cs="ArialNarrowMTStd-Bold"/>
          <w:b/>
          <w:bCs/>
        </w:rPr>
        <w:br/>
      </w:r>
      <w:r>
        <w:rPr>
          <w:rFonts w:ascii="ArialNarrowMTStd-Bold" w:hAnsi="ArialNarrowMTStd-Bold" w:cs="ArialNarrowMTStd-Bold"/>
          <w:b/>
          <w:bCs/>
        </w:rPr>
        <w:t>Ingredients:</w:t>
      </w:r>
      <w:r>
        <w:rPr>
          <w:rFonts w:ascii="ArialNarrowMTStd" w:hAnsi="ArialNarrowMTStd" w:cs="ArialNarrowMTStd"/>
        </w:rPr>
        <w:t xml:space="preserve"> Each gel contains agarose in a </w:t>
      </w:r>
      <w:proofErr w:type="spellStart"/>
      <w:r>
        <w:rPr>
          <w:rFonts w:ascii="ArialNarrowMTStd" w:hAnsi="ArialNarrowMTStd" w:cs="ArialNarrowMTStd"/>
        </w:rPr>
        <w:t>tris</w:t>
      </w:r>
      <w:proofErr w:type="spellEnd"/>
      <w:r>
        <w:rPr>
          <w:rFonts w:ascii="ArialNarrowMTStd" w:hAnsi="ArialNarrowMTStd" w:cs="ArialNarrowMTStd"/>
        </w:rPr>
        <w:t>-barbital-sodium barbital buffer with calcium lactate and preservatives.</w:t>
      </w:r>
    </w:p>
    <w:p w14:paraId="5B893880" w14:textId="424AB1C0" w:rsidR="00652F9A" w:rsidRDefault="00652F9A" w:rsidP="00652F9A">
      <w:pPr>
        <w:pStyle w:val="BodyCopy"/>
        <w:tabs>
          <w:tab w:val="clear" w:pos="220"/>
          <w:tab w:val="clear" w:pos="440"/>
          <w:tab w:val="clear" w:pos="640"/>
          <w:tab w:val="clear" w:pos="840"/>
          <w:tab w:val="left" w:pos="217"/>
        </w:tabs>
        <w:rPr>
          <w:rFonts w:ascii="ArialNarrowMTStd" w:hAnsi="ArialNarrowMTStd" w:cs="ArialNarrowMTStd"/>
        </w:rPr>
      </w:pPr>
      <w:r>
        <w:rPr>
          <w:rFonts w:ascii="ArialNarrowMTStd-Bold" w:hAnsi="ArialNarrowMTStd-Bold" w:cs="ArialNarrowMTStd-Bold"/>
          <w:b/>
          <w:bCs/>
        </w:rPr>
        <w:t xml:space="preserve">WARNING: FOR IN-VITRO DIAGNOSTIC USE ONLY. DO NOT INGEST. </w:t>
      </w:r>
      <w:r>
        <w:rPr>
          <w:rFonts w:ascii="ArialNarrowMTStd" w:hAnsi="ArialNarrowMTStd" w:cs="ArialNarrowMTStd"/>
        </w:rPr>
        <w:t xml:space="preserve">The gel contains barbital which, in sufficient quantity, can be toxic. </w:t>
      </w:r>
    </w:p>
    <w:p w14:paraId="3A497EE9" w14:textId="4691FCC6" w:rsidR="00652F9A" w:rsidRDefault="00652F9A" w:rsidP="00652F9A">
      <w:pPr>
        <w:pStyle w:val="BodyCopy"/>
        <w:tabs>
          <w:tab w:val="clear" w:pos="220"/>
          <w:tab w:val="clear" w:pos="440"/>
          <w:tab w:val="clear" w:pos="640"/>
          <w:tab w:val="clear" w:pos="840"/>
          <w:tab w:val="left" w:pos="217"/>
        </w:tabs>
        <w:rPr>
          <w:rFonts w:ascii="ArialNarrowMTStd" w:hAnsi="ArialNarrowMTStd" w:cs="ArialNarrowMTStd"/>
        </w:rPr>
      </w:pPr>
      <w:r>
        <w:rPr>
          <w:rFonts w:ascii="ArialNarrowMTStd-Bold" w:hAnsi="ArialNarrowMTStd-Bold" w:cs="ArialNarrowMTStd-Bold"/>
          <w:b/>
          <w:bCs/>
        </w:rPr>
        <w:t xml:space="preserve">Preparation for Use: </w:t>
      </w:r>
      <w:r>
        <w:rPr>
          <w:rFonts w:ascii="ArialNarrowMTStd" w:hAnsi="ArialNarrowMTStd" w:cs="ArialNarrowMTStd"/>
        </w:rPr>
        <w:t>The gels are ready for use as packaged.</w:t>
      </w:r>
    </w:p>
    <w:p w14:paraId="30968683" w14:textId="057E99B9" w:rsidR="00652F9A" w:rsidRDefault="00652F9A" w:rsidP="00652F9A">
      <w:pPr>
        <w:pStyle w:val="BodyCopy"/>
        <w:tabs>
          <w:tab w:val="clear" w:pos="220"/>
          <w:tab w:val="clear" w:pos="440"/>
          <w:tab w:val="clear" w:pos="640"/>
          <w:tab w:val="clear" w:pos="840"/>
          <w:tab w:val="left" w:pos="217"/>
        </w:tabs>
        <w:rPr>
          <w:rFonts w:ascii="ArialNarrowMTStd" w:hAnsi="ArialNarrowMTStd" w:cs="ArialNarrowMTStd"/>
        </w:rPr>
      </w:pPr>
      <w:r>
        <w:rPr>
          <w:rFonts w:ascii="ArialNarrowMTStd-Bold" w:hAnsi="ArialNarrowMTStd-Bold" w:cs="ArialNarrowMTStd-Bold"/>
          <w:b/>
          <w:bCs/>
        </w:rPr>
        <w:t xml:space="preserve">Storage and Stability: </w:t>
      </w:r>
      <w:r>
        <w:rPr>
          <w:rFonts w:ascii="ArialNarrowMTStd" w:hAnsi="ArialNarrowMTStd" w:cs="ArialNarrowMTStd"/>
        </w:rPr>
        <w:t xml:space="preserve">The gels should be stored at room temperature (15 to 30°C) in the protective packaging and are stable until the expiration date indicated on the package. </w:t>
      </w:r>
      <w:r>
        <w:rPr>
          <w:rFonts w:ascii="ArialNarrowMTStd-Bold" w:hAnsi="ArialNarrowMTStd-Bold" w:cs="ArialNarrowMTStd-Bold"/>
          <w:b/>
          <w:bCs/>
        </w:rPr>
        <w:t>DO NOT REFRIGERATE OR FREEZE</w:t>
      </w:r>
      <w:r>
        <w:rPr>
          <w:rFonts w:ascii="ArialNarrowMTStd" w:hAnsi="ArialNarrowMTStd" w:cs="ArialNarrowMTStd"/>
        </w:rPr>
        <w:t>.</w:t>
      </w:r>
    </w:p>
    <w:p w14:paraId="19B32F93" w14:textId="14B57E5A" w:rsidR="00652F9A" w:rsidRDefault="00652F9A" w:rsidP="00652F9A">
      <w:pPr>
        <w:pStyle w:val="BodyCopy"/>
        <w:tabs>
          <w:tab w:val="clear" w:pos="220"/>
          <w:tab w:val="clear" w:pos="440"/>
          <w:tab w:val="clear" w:pos="640"/>
          <w:tab w:val="clear" w:pos="840"/>
          <w:tab w:val="left" w:pos="217"/>
        </w:tabs>
        <w:rPr>
          <w:rFonts w:ascii="ArialNarrowMTStd" w:hAnsi="ArialNarrowMTStd" w:cs="ArialNarrowMTStd"/>
        </w:rPr>
      </w:pPr>
      <w:r>
        <w:rPr>
          <w:rFonts w:ascii="ArialNarrowMTStd-Bold" w:hAnsi="ArialNarrowMTStd-Bold" w:cs="ArialNarrowMTStd-Bold"/>
          <w:b/>
          <w:bCs/>
        </w:rPr>
        <w:t>Signs of Deterioration:</w:t>
      </w:r>
      <w:r>
        <w:rPr>
          <w:rFonts w:ascii="ArialNarrowMTStd" w:hAnsi="ArialNarrowMTStd" w:cs="ArialNarrowMTStd"/>
        </w:rPr>
        <w:t xml:space="preserve"> Any of the following conditions may indicate deterioration of the gel: (1) crystalline appearance indicating the agarose has been frozen, (2) cracking and peeling indicating drying of the agarose, (3) bacterial growth indicating contamination, (4) thinning of gel blocks.</w:t>
      </w:r>
    </w:p>
    <w:p w14:paraId="0A34E808" w14:textId="77777777"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2.</w:t>
      </w:r>
      <w:r>
        <w:rPr>
          <w:rFonts w:ascii="ArialNarrowMTStd" w:hAnsi="ArialNarrowMTStd" w:cs="ArialNarrowMTStd"/>
          <w:b w:val="0"/>
          <w:bCs w:val="0"/>
        </w:rPr>
        <w:tab/>
        <w:t>Alkaline Phosphatase Reagent</w:t>
      </w:r>
    </w:p>
    <w:p w14:paraId="2AB63547" w14:textId="3842F45B" w:rsidR="00652F9A" w:rsidRDefault="00652F9A" w:rsidP="00652F9A">
      <w:pPr>
        <w:pStyle w:val="BodyCopy"/>
        <w:rPr>
          <w:rFonts w:ascii="ArialNarrowMTStd" w:hAnsi="ArialNarrowMTStd" w:cs="ArialNarrowMTStd"/>
        </w:rPr>
      </w:pPr>
      <w:r>
        <w:rPr>
          <w:rFonts w:ascii="ArialNarrowMTStd-Bold" w:hAnsi="ArialNarrowMTStd-Bold" w:cs="ArialNarrowMTStd-Bold"/>
          <w:b/>
          <w:bCs/>
        </w:rPr>
        <w:t>Ingredients:</w:t>
      </w:r>
      <w:r>
        <w:rPr>
          <w:rFonts w:ascii="ArialNarrowMTStd" w:hAnsi="ArialNarrowMTStd" w:cs="ArialNarrowMTStd"/>
        </w:rPr>
        <w:t xml:space="preserve"> NBT (nitro blue tetrazolium) - 1.83 </w:t>
      </w:r>
      <w:proofErr w:type="spellStart"/>
      <w:r>
        <w:rPr>
          <w:rFonts w:ascii="ArialNarrowMTStd" w:hAnsi="ArialNarrowMTStd" w:cs="ArialNarrowMTStd"/>
        </w:rPr>
        <w:t>mM</w:t>
      </w:r>
      <w:proofErr w:type="spellEnd"/>
    </w:p>
    <w:p w14:paraId="2B26AB61" w14:textId="440A092C" w:rsidR="00652F9A" w:rsidRDefault="00652F9A" w:rsidP="00652F9A">
      <w:pPr>
        <w:pStyle w:val="BodyCopy"/>
        <w:rPr>
          <w:rFonts w:ascii="ArialNarrowMTStd-Bold" w:hAnsi="ArialNarrowMTStd-Bold" w:cs="ArialNarrowMTStd-Bold"/>
          <w:b/>
          <w:bCs/>
        </w:rPr>
      </w:pPr>
      <w:r>
        <w:rPr>
          <w:rFonts w:ascii="ArialNarrowMTStd-Bold" w:hAnsi="ArialNarrowMTStd-Bold" w:cs="ArialNarrowMTStd-Bold"/>
          <w:b/>
          <w:bCs/>
        </w:rPr>
        <w:t>WARNING: FOR IN-VITRO DIAGNOSTIC USE ONLY. DO NOT INGEST.</w:t>
      </w:r>
    </w:p>
    <w:p w14:paraId="05895FC4" w14:textId="6DE54283" w:rsidR="00652F9A" w:rsidRDefault="00652F9A" w:rsidP="00652F9A">
      <w:pPr>
        <w:pStyle w:val="BodyCopy"/>
        <w:rPr>
          <w:rFonts w:ascii="ArialNarrowMTStd" w:hAnsi="ArialNarrowMTStd" w:cs="ArialNarrowMTStd"/>
        </w:rPr>
      </w:pPr>
      <w:r>
        <w:rPr>
          <w:rFonts w:ascii="ArialNarrowMTStd-Bold" w:hAnsi="ArialNarrowMTStd-Bold" w:cs="ArialNarrowMTStd-Bold"/>
          <w:b/>
          <w:bCs/>
        </w:rPr>
        <w:t>Preparation for Use:</w:t>
      </w:r>
      <w:r>
        <w:rPr>
          <w:rFonts w:ascii="ArialNarrowMTStd" w:hAnsi="ArialNarrowMTStd" w:cs="ArialNarrowMTStd"/>
        </w:rPr>
        <w:t xml:space="preserve"> Reconstitute each vial with 3 mL of Alkaline Phosphatase Diluent.</w:t>
      </w:r>
    </w:p>
    <w:p w14:paraId="022B862C" w14:textId="2DCFC803" w:rsidR="00652F9A" w:rsidRDefault="00652F9A" w:rsidP="00652F9A">
      <w:pPr>
        <w:pStyle w:val="BodyCopy"/>
        <w:rPr>
          <w:rFonts w:ascii="ArialNarrowMTStd" w:hAnsi="ArialNarrowMTStd" w:cs="ArialNarrowMTStd"/>
        </w:rPr>
      </w:pPr>
      <w:r>
        <w:rPr>
          <w:rFonts w:ascii="ArialNarrowMTStd-Bold" w:hAnsi="ArialNarrowMTStd-Bold" w:cs="ArialNarrowMTStd-Bold"/>
          <w:b/>
          <w:bCs/>
        </w:rPr>
        <w:t>Storage and Stability:</w:t>
      </w:r>
      <w:r>
        <w:rPr>
          <w:rFonts w:ascii="ArialNarrowMTStd" w:hAnsi="ArialNarrowMTStd" w:cs="ArialNarrowMTStd"/>
        </w:rPr>
        <w:t xml:space="preserve"> The dry powder should be stored at 2 to 8°C and is stable until the expiration date on the bottle. The reconstituted reagent and chromogen should be used within 30 minutes.</w:t>
      </w:r>
    </w:p>
    <w:p w14:paraId="5AC700A7" w14:textId="1C5FBE12" w:rsidR="00652F9A" w:rsidRDefault="00652F9A" w:rsidP="00652F9A">
      <w:pPr>
        <w:pStyle w:val="BodyCopy"/>
        <w:rPr>
          <w:rFonts w:ascii="ArialNarrowMTStd" w:hAnsi="ArialNarrowMTStd" w:cs="ArialNarrowMTStd"/>
        </w:rPr>
      </w:pPr>
      <w:r>
        <w:rPr>
          <w:rFonts w:ascii="ArialNarrowMTStd-Bold" w:hAnsi="ArialNarrowMTStd-Bold" w:cs="ArialNarrowMTStd-Bold"/>
          <w:b/>
          <w:bCs/>
          <w:spacing w:val="-2"/>
        </w:rPr>
        <w:t>Signs of Deterioration:</w:t>
      </w:r>
      <w:r>
        <w:rPr>
          <w:rFonts w:ascii="ArialNarrowMTStd" w:hAnsi="ArialNarrowMTStd" w:cs="ArialNarrowMTStd"/>
          <w:spacing w:val="-2"/>
        </w:rPr>
        <w:t xml:space="preserve"> The powder should be a dry, light yellow color.</w:t>
      </w:r>
    </w:p>
    <w:p w14:paraId="1F70E921" w14:textId="77777777"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3.</w:t>
      </w:r>
      <w:r>
        <w:rPr>
          <w:rFonts w:ascii="ArialNarrowMTStd" w:hAnsi="ArialNarrowMTStd" w:cs="ArialNarrowMTStd"/>
          <w:b w:val="0"/>
          <w:bCs w:val="0"/>
        </w:rPr>
        <w:tab/>
        <w:t>Alkaline Phosphatase Diluent</w:t>
      </w:r>
    </w:p>
    <w:p w14:paraId="49AC5507" w14:textId="06706297" w:rsidR="00652F9A" w:rsidRDefault="00652F9A" w:rsidP="00652F9A">
      <w:pPr>
        <w:pStyle w:val="BodyCopy"/>
        <w:tabs>
          <w:tab w:val="clear" w:pos="220"/>
          <w:tab w:val="clear" w:pos="440"/>
          <w:tab w:val="clear" w:pos="640"/>
          <w:tab w:val="clear" w:pos="840"/>
          <w:tab w:val="left" w:pos="217"/>
        </w:tabs>
        <w:rPr>
          <w:rFonts w:ascii="ArialNarrowMTStd" w:hAnsi="ArialNarrowMTStd" w:cs="ArialNarrowMTStd"/>
        </w:rPr>
      </w:pPr>
      <w:r>
        <w:rPr>
          <w:rFonts w:ascii="ArialNarrowMTStd-Bold" w:hAnsi="ArialNarrowMTStd-Bold" w:cs="ArialNarrowMTStd-Bold"/>
          <w:b/>
          <w:bCs/>
        </w:rPr>
        <w:t>Ingredients:</w:t>
      </w:r>
      <w:r>
        <w:rPr>
          <w:rFonts w:ascii="ArialNarrowMTStd" w:hAnsi="ArialNarrowMTStd" w:cs="ArialNarrowMTStd"/>
        </w:rPr>
        <w:t xml:space="preserve"> The concentration of the reactive ingredients is as follows:</w:t>
      </w:r>
    </w:p>
    <w:p w14:paraId="7346D6AA" w14:textId="77777777" w:rsidR="00652F9A" w:rsidRDefault="00652F9A" w:rsidP="00652F9A">
      <w:pPr>
        <w:pStyle w:val="BodyCopy"/>
        <w:tabs>
          <w:tab w:val="clear" w:pos="220"/>
          <w:tab w:val="clear" w:pos="440"/>
          <w:tab w:val="clear" w:pos="640"/>
          <w:tab w:val="clear" w:pos="840"/>
          <w:tab w:val="left" w:pos="217"/>
          <w:tab w:val="left" w:pos="4240"/>
        </w:tabs>
        <w:rPr>
          <w:rFonts w:ascii="ArialNarrowMTStd" w:hAnsi="ArialNarrowMTStd" w:cs="ArialNarrowMTStd"/>
        </w:rPr>
      </w:pPr>
      <w:r>
        <w:rPr>
          <w:rFonts w:ascii="ArialNarrowMTStd" w:hAnsi="ArialNarrowMTStd" w:cs="ArialNarrowMTStd"/>
        </w:rPr>
        <w:tab/>
        <w:t xml:space="preserve">2-Amino-2-Methyl,1-Propanol </w:t>
      </w:r>
      <w:r>
        <w:rPr>
          <w:rFonts w:ascii="ArialNarrowMTStd" w:hAnsi="ArialNarrowMTStd" w:cs="ArialNarrowMTStd"/>
        </w:rPr>
        <w:tab/>
        <w:t>2.0 M</w:t>
      </w:r>
    </w:p>
    <w:p w14:paraId="7FA631E3" w14:textId="77777777" w:rsidR="00652F9A" w:rsidRDefault="00652F9A" w:rsidP="00652F9A">
      <w:pPr>
        <w:pStyle w:val="BodyCopy"/>
        <w:tabs>
          <w:tab w:val="clear" w:pos="220"/>
          <w:tab w:val="clear" w:pos="440"/>
          <w:tab w:val="clear" w:pos="640"/>
          <w:tab w:val="clear" w:pos="840"/>
          <w:tab w:val="left" w:pos="217"/>
          <w:tab w:val="left" w:pos="4240"/>
        </w:tabs>
        <w:rPr>
          <w:rFonts w:ascii="ArialNarrowMTStd" w:hAnsi="ArialNarrowMTStd" w:cs="ArialNarrowMTStd"/>
          <w:spacing w:val="-2"/>
        </w:rPr>
      </w:pPr>
      <w:r>
        <w:rPr>
          <w:rFonts w:ascii="ArialNarrowMTStd" w:hAnsi="ArialNarrowMTStd" w:cs="ArialNarrowMTStd"/>
          <w:spacing w:val="-2"/>
        </w:rPr>
        <w:tab/>
        <w:t>5-Bromo-4-Chloro-3-Indolyl Phosphate-p-Toluidine salt</w:t>
      </w:r>
      <w:r>
        <w:rPr>
          <w:rFonts w:ascii="ArialNarrowMTStd" w:hAnsi="ArialNarrowMTStd" w:cs="ArialNarrowMTStd"/>
          <w:spacing w:val="-2"/>
        </w:rPr>
        <w:tab/>
        <w:t xml:space="preserve">1.7 </w:t>
      </w:r>
      <w:proofErr w:type="spellStart"/>
      <w:r>
        <w:rPr>
          <w:rFonts w:ascii="ArialNarrowMTStd" w:hAnsi="ArialNarrowMTStd" w:cs="ArialNarrowMTStd"/>
          <w:spacing w:val="-2"/>
        </w:rPr>
        <w:t>mM</w:t>
      </w:r>
      <w:proofErr w:type="spellEnd"/>
    </w:p>
    <w:p w14:paraId="25D4D4AB" w14:textId="77777777" w:rsidR="00652F9A" w:rsidRDefault="00652F9A" w:rsidP="00652F9A">
      <w:pPr>
        <w:pStyle w:val="BodyCopy"/>
        <w:tabs>
          <w:tab w:val="clear" w:pos="220"/>
          <w:tab w:val="clear" w:pos="440"/>
          <w:tab w:val="clear" w:pos="640"/>
          <w:tab w:val="clear" w:pos="840"/>
          <w:tab w:val="left" w:pos="217"/>
          <w:tab w:val="left" w:pos="4240"/>
        </w:tabs>
        <w:rPr>
          <w:rFonts w:ascii="ArialNarrowMTStd" w:hAnsi="ArialNarrowMTStd" w:cs="ArialNarrowMTStd"/>
        </w:rPr>
      </w:pPr>
      <w:r>
        <w:rPr>
          <w:rFonts w:ascii="ArialNarrowMTStd" w:hAnsi="ArialNarrowMTStd" w:cs="ArialNarrowMTStd"/>
        </w:rPr>
        <w:tab/>
        <w:t xml:space="preserve">Magnesium Sulfate </w:t>
      </w:r>
      <w:r>
        <w:rPr>
          <w:rFonts w:ascii="ArialNarrowMTStd" w:hAnsi="ArialNarrowMTStd" w:cs="ArialNarrowMTStd"/>
        </w:rPr>
        <w:tab/>
        <w:t xml:space="preserve">0.85 </w:t>
      </w:r>
      <w:proofErr w:type="spellStart"/>
      <w:r>
        <w:rPr>
          <w:rFonts w:ascii="ArialNarrowMTStd" w:hAnsi="ArialNarrowMTStd" w:cs="ArialNarrowMTStd"/>
        </w:rPr>
        <w:t>mM</w:t>
      </w:r>
      <w:proofErr w:type="spellEnd"/>
    </w:p>
    <w:p w14:paraId="70EF59B1" w14:textId="77777777" w:rsidR="00652F9A" w:rsidRDefault="00652F9A" w:rsidP="00652F9A">
      <w:pPr>
        <w:pStyle w:val="BodyCopy"/>
        <w:tabs>
          <w:tab w:val="clear" w:pos="220"/>
          <w:tab w:val="clear" w:pos="440"/>
          <w:tab w:val="clear" w:pos="640"/>
          <w:tab w:val="clear" w:pos="840"/>
          <w:tab w:val="left" w:pos="217"/>
          <w:tab w:val="left" w:pos="4240"/>
        </w:tabs>
        <w:rPr>
          <w:rFonts w:ascii="ArialNarrowMTStd" w:hAnsi="ArialNarrowMTStd" w:cs="ArialNarrowMTStd"/>
        </w:rPr>
      </w:pPr>
      <w:r>
        <w:rPr>
          <w:rFonts w:ascii="ArialNarrowMTStd" w:hAnsi="ArialNarrowMTStd" w:cs="ArialNarrowMTStd"/>
        </w:rPr>
        <w:tab/>
        <w:t xml:space="preserve">Sodium </w:t>
      </w:r>
      <w:proofErr w:type="spellStart"/>
      <w:r>
        <w:rPr>
          <w:rFonts w:ascii="ArialNarrowMTStd" w:hAnsi="ArialNarrowMTStd" w:cs="ArialNarrowMTStd"/>
        </w:rPr>
        <w:t>Azide</w:t>
      </w:r>
      <w:proofErr w:type="spellEnd"/>
      <w:r>
        <w:rPr>
          <w:rFonts w:ascii="ArialNarrowMTStd" w:hAnsi="ArialNarrowMTStd" w:cs="ArialNarrowMTStd"/>
        </w:rPr>
        <w:t xml:space="preserve"> </w:t>
      </w:r>
      <w:r>
        <w:rPr>
          <w:rFonts w:ascii="ArialNarrowMTStd" w:hAnsi="ArialNarrowMTStd" w:cs="ArialNarrowMTStd"/>
        </w:rPr>
        <w:tab/>
        <w:t>0.1%</w:t>
      </w:r>
    </w:p>
    <w:p w14:paraId="2950D6A2" w14:textId="77777777" w:rsidR="00652F9A" w:rsidRDefault="00652F9A" w:rsidP="00652F9A">
      <w:pPr>
        <w:pStyle w:val="BodyCopy"/>
        <w:rPr>
          <w:rFonts w:ascii="ArialNarrowMTStd" w:hAnsi="ArialNarrowMTStd" w:cs="ArialNarrowMTStd"/>
        </w:rPr>
      </w:pPr>
      <w:r>
        <w:rPr>
          <w:rFonts w:ascii="ArialNarrowMTStd-Bold" w:hAnsi="ArialNarrowMTStd-Bold" w:cs="ArialNarrowMTStd-Bold"/>
          <w:b/>
          <w:bCs/>
        </w:rPr>
        <w:tab/>
      </w:r>
      <w:r>
        <w:rPr>
          <w:rFonts w:ascii="ArialNarrowMTStd-Bold" w:hAnsi="ArialNarrowMTStd-Bold" w:cs="ArialNarrowMTStd-Bold"/>
          <w:b/>
          <w:bCs/>
        </w:rPr>
        <w:br/>
        <w:t>WARNING: FOR IN-VITRO DIAGNOSTIC USE ONLY. DO NOT INGEST - IRRITANT.</w:t>
      </w:r>
      <w:r>
        <w:rPr>
          <w:rFonts w:ascii="ArialNarrowMTStd" w:hAnsi="ArialNarrowMTStd" w:cs="ArialNarrowMTStd"/>
        </w:rPr>
        <w:t xml:space="preserve"> To prevent the formation of toxic vapors, sodium </w:t>
      </w:r>
      <w:proofErr w:type="spellStart"/>
      <w:r>
        <w:rPr>
          <w:rFonts w:ascii="ArialNarrowMTStd" w:hAnsi="ArialNarrowMTStd" w:cs="ArialNarrowMTStd"/>
        </w:rPr>
        <w:t>azide</w:t>
      </w:r>
      <w:proofErr w:type="spellEnd"/>
      <w:r>
        <w:rPr>
          <w:rFonts w:ascii="ArialNarrowMTStd" w:hAnsi="ArialNarrowMTStd" w:cs="ArialNarrowMTStd"/>
        </w:rPr>
        <w:t xml:space="preserve"> should not be mixed with acidic solutions. When discarding reagents containing sodium </w:t>
      </w:r>
      <w:proofErr w:type="spellStart"/>
      <w:r>
        <w:rPr>
          <w:rFonts w:ascii="ArialNarrowMTStd" w:hAnsi="ArialNarrowMTStd" w:cs="ArialNarrowMTStd"/>
        </w:rPr>
        <w:t>azide</w:t>
      </w:r>
      <w:proofErr w:type="spellEnd"/>
      <w:r>
        <w:rPr>
          <w:rFonts w:ascii="ArialNarrowMTStd" w:hAnsi="ArialNarrowMTStd" w:cs="ArialNarrowMTStd"/>
        </w:rPr>
        <w:t xml:space="preserve">, always flush sink with copious quantities of water. This will prevent the formation of metallic </w:t>
      </w:r>
      <w:proofErr w:type="spellStart"/>
      <w:r>
        <w:rPr>
          <w:rFonts w:ascii="ArialNarrowMTStd" w:hAnsi="ArialNarrowMTStd" w:cs="ArialNarrowMTStd"/>
        </w:rPr>
        <w:t>azides</w:t>
      </w:r>
      <w:proofErr w:type="spellEnd"/>
      <w:r>
        <w:rPr>
          <w:rFonts w:ascii="ArialNarrowMTStd" w:hAnsi="ArialNarrowMTStd" w:cs="ArialNarrowMTStd"/>
        </w:rPr>
        <w:t xml:space="preserve"> which, when highly concentrated in metal plumbing, are potentially explosive. In addition to purging pipes with water, plumbing should occasionally be decontaminated with 10% </w:t>
      </w:r>
      <w:proofErr w:type="spellStart"/>
      <w:r>
        <w:rPr>
          <w:rFonts w:ascii="ArialNarrowMTStd" w:hAnsi="ArialNarrowMTStd" w:cs="ArialNarrowMTStd"/>
        </w:rPr>
        <w:t>NaOH</w:t>
      </w:r>
      <w:proofErr w:type="spellEnd"/>
      <w:r>
        <w:rPr>
          <w:rFonts w:ascii="ArialNarrowMTStd" w:hAnsi="ArialNarrowMTStd" w:cs="ArialNarrowMTStd"/>
        </w:rPr>
        <w:t>.</w:t>
      </w:r>
    </w:p>
    <w:p w14:paraId="1D46DE18" w14:textId="368B8843" w:rsidR="00652F9A" w:rsidRDefault="00652F9A" w:rsidP="00652F9A">
      <w:pPr>
        <w:pStyle w:val="BodyCopy"/>
        <w:rPr>
          <w:rFonts w:ascii="ArialNarrowMTStd" w:hAnsi="ArialNarrowMTStd" w:cs="ArialNarrowMTStd"/>
        </w:rPr>
      </w:pPr>
      <w:r>
        <w:rPr>
          <w:rFonts w:ascii="ArialNarrowMTStd-Bold" w:hAnsi="ArialNarrowMTStd-Bold" w:cs="ArialNarrowMTStd-Bold"/>
          <w:b/>
          <w:bCs/>
        </w:rPr>
        <w:t>Preparation for Use:</w:t>
      </w:r>
      <w:r>
        <w:rPr>
          <w:rFonts w:ascii="ArialNarrowMTStd" w:hAnsi="ArialNarrowMTStd" w:cs="ArialNarrowMTStd"/>
        </w:rPr>
        <w:t xml:space="preserve"> The diluent is ready for use as packaged. </w:t>
      </w:r>
    </w:p>
    <w:p w14:paraId="42C2FF02" w14:textId="25D68208" w:rsidR="00652F9A" w:rsidRDefault="00652F9A" w:rsidP="00652F9A">
      <w:pPr>
        <w:pStyle w:val="BodyCopy"/>
        <w:rPr>
          <w:rFonts w:ascii="ArialNarrowMTStd" w:hAnsi="ArialNarrowMTStd" w:cs="ArialNarrowMTStd"/>
        </w:rPr>
      </w:pPr>
      <w:r>
        <w:rPr>
          <w:rFonts w:ascii="ArialNarrowMTStd-Bold" w:hAnsi="ArialNarrowMTStd-Bold" w:cs="ArialNarrowMTStd-Bold"/>
          <w:b/>
          <w:bCs/>
        </w:rPr>
        <w:t>Storage and Stability:</w:t>
      </w:r>
      <w:r>
        <w:rPr>
          <w:rFonts w:ascii="ArialNarrowMTStd" w:hAnsi="ArialNarrowMTStd" w:cs="ArialNarrowMTStd"/>
        </w:rPr>
        <w:t xml:space="preserve"> The diluent should be stored at 2 to 8°C and is stable until the expiration date on the bottle.</w:t>
      </w:r>
    </w:p>
    <w:p w14:paraId="4DBDC3B8" w14:textId="259A369B" w:rsidR="00652F9A" w:rsidRDefault="00652F9A" w:rsidP="00652F9A">
      <w:pPr>
        <w:pStyle w:val="BodyCopy"/>
        <w:rPr>
          <w:rFonts w:ascii="ArialNarrowMTStd" w:hAnsi="ArialNarrowMTStd" w:cs="ArialNarrowMTStd"/>
        </w:rPr>
      </w:pPr>
      <w:r>
        <w:rPr>
          <w:rFonts w:ascii="ArialNarrowMTStd-Bold" w:hAnsi="ArialNarrowMTStd-Bold" w:cs="ArialNarrowMTStd-Bold"/>
          <w:b/>
          <w:bCs/>
        </w:rPr>
        <w:t>Signs of Deterioration:</w:t>
      </w:r>
      <w:r>
        <w:rPr>
          <w:rFonts w:ascii="ArialNarrowMTStd" w:hAnsi="ArialNarrowMTStd" w:cs="ArialNarrowMTStd"/>
        </w:rPr>
        <w:t xml:space="preserve"> The diluent should not be used if it becomes milky white or shows signs of contamination.</w:t>
      </w:r>
    </w:p>
    <w:p w14:paraId="040A5B70" w14:textId="77777777"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4.</w:t>
      </w:r>
      <w:r>
        <w:rPr>
          <w:rFonts w:ascii="ArialNarrowMTStd" w:hAnsi="ArialNarrowMTStd" w:cs="ArialNarrowMTStd"/>
          <w:b w:val="0"/>
          <w:bCs w:val="0"/>
        </w:rPr>
        <w:tab/>
        <w:t>SPIFE ALP Separation Enhancer (Cat. No. 3348)</w:t>
      </w:r>
    </w:p>
    <w:p w14:paraId="1C629941" w14:textId="4CB3118F" w:rsidR="00652F9A" w:rsidRDefault="00652F9A" w:rsidP="00652F9A">
      <w:pPr>
        <w:pStyle w:val="BodyCopy"/>
        <w:rPr>
          <w:rFonts w:ascii="ArialNarrowMTStd" w:hAnsi="ArialNarrowMTStd" w:cs="ArialNarrowMTStd"/>
        </w:rPr>
      </w:pPr>
      <w:r>
        <w:rPr>
          <w:rFonts w:ascii="ArialNarrowMTStd-Bold" w:hAnsi="ArialNarrowMTStd-Bold" w:cs="ArialNarrowMTStd-Bold"/>
          <w:b/>
          <w:bCs/>
        </w:rPr>
        <w:t xml:space="preserve">Ingredients: </w:t>
      </w:r>
      <w:r>
        <w:rPr>
          <w:rFonts w:ascii="ArialNarrowMTStd" w:hAnsi="ArialNarrowMTStd" w:cs="ArialNarrowMTStd"/>
        </w:rPr>
        <w:t xml:space="preserve">Neuraminidase from </w:t>
      </w:r>
      <w:r>
        <w:rPr>
          <w:rFonts w:ascii="ArialNarrowMTStd" w:hAnsi="ArialNarrowMTStd" w:cs="ArialNarrowMTStd"/>
          <w:u w:val="thick" w:color="000000"/>
        </w:rPr>
        <w:t xml:space="preserve">Vibrio </w:t>
      </w:r>
      <w:proofErr w:type="spellStart"/>
      <w:r>
        <w:rPr>
          <w:rFonts w:ascii="ArialNarrowMTStd" w:hAnsi="ArialNarrowMTStd" w:cs="ArialNarrowMTStd"/>
          <w:u w:val="thick" w:color="000000"/>
        </w:rPr>
        <w:t>cholerae</w:t>
      </w:r>
      <w:proofErr w:type="spellEnd"/>
      <w:r>
        <w:rPr>
          <w:rFonts w:ascii="ArialNarrowMTStd" w:hAnsi="ArialNarrowMTStd" w:cs="ArialNarrowMTStd"/>
        </w:rPr>
        <w:t xml:space="preserve"> (E.C. 3.2.1.18) and preservatives.</w:t>
      </w:r>
    </w:p>
    <w:p w14:paraId="5550F955" w14:textId="77777777" w:rsidR="00652F9A" w:rsidRDefault="00652F9A" w:rsidP="00652F9A">
      <w:pPr>
        <w:pStyle w:val="BodyCopy"/>
        <w:rPr>
          <w:rFonts w:ascii="ArialNarrowMTStd-Bold" w:hAnsi="ArialNarrowMTStd-Bold" w:cs="ArialNarrowMTStd-Bold"/>
          <w:b/>
          <w:bCs/>
        </w:rPr>
      </w:pPr>
      <w:r>
        <w:rPr>
          <w:rFonts w:ascii="ArialNarrowMTStd-Bold" w:hAnsi="ArialNarrowMTStd-Bold" w:cs="ArialNarrowMTStd-Bold"/>
          <w:b/>
          <w:bCs/>
        </w:rPr>
        <w:t xml:space="preserve">WARNING: FOR IN-VITRO DIAGNOSTIC USE ONLY. DO NOT INGEST. </w:t>
      </w:r>
    </w:p>
    <w:p w14:paraId="01FD964D" w14:textId="1E7A0F3E" w:rsidR="00652F9A" w:rsidRPr="00652F9A" w:rsidRDefault="00652F9A" w:rsidP="00652F9A">
      <w:pPr>
        <w:pStyle w:val="BodyCopy"/>
        <w:rPr>
          <w:rFonts w:ascii="ArialNarrowMTStd-Bold" w:hAnsi="ArialNarrowMTStd-Bold" w:cs="ArialNarrowMTStd-Bold"/>
          <w:b/>
          <w:bCs/>
        </w:rPr>
      </w:pPr>
      <w:r>
        <w:rPr>
          <w:rFonts w:ascii="ArialNarrowMTStd-Bold" w:hAnsi="ArialNarrowMTStd-Bold" w:cs="ArialNarrowMTStd-Bold"/>
          <w:b/>
          <w:bCs/>
        </w:rPr>
        <w:t xml:space="preserve">Preparation for Use: </w:t>
      </w:r>
      <w:r>
        <w:rPr>
          <w:rFonts w:ascii="ArialNarrowMTStd" w:hAnsi="ArialNarrowMTStd" w:cs="ArialNarrowMTStd"/>
        </w:rPr>
        <w:t>The product is ready for use as packaged.</w:t>
      </w:r>
    </w:p>
    <w:p w14:paraId="787BA98A" w14:textId="2B61EFBA" w:rsidR="00652F9A" w:rsidRDefault="00652F9A" w:rsidP="00652F9A">
      <w:pPr>
        <w:pStyle w:val="BodyCopy"/>
        <w:rPr>
          <w:rFonts w:ascii="ArialNarrowMTStd" w:hAnsi="ArialNarrowMTStd" w:cs="ArialNarrowMTStd"/>
        </w:rPr>
      </w:pPr>
      <w:r>
        <w:rPr>
          <w:rFonts w:ascii="ArialNarrowMTStd-Bold" w:hAnsi="ArialNarrowMTStd-Bold" w:cs="ArialNarrowMTStd-Bold"/>
          <w:b/>
          <w:bCs/>
        </w:rPr>
        <w:t>Storage and Stability:</w:t>
      </w:r>
      <w:r>
        <w:rPr>
          <w:rFonts w:ascii="ArialNarrowMTStd" w:hAnsi="ArialNarrowMTStd" w:cs="ArialNarrowMTStd"/>
        </w:rPr>
        <w:t xml:space="preserve"> Store at 2 to 8°C and is stable until the expiration date on the vial.</w:t>
      </w:r>
    </w:p>
    <w:p w14:paraId="3B23FB5C" w14:textId="0CF15E5E" w:rsidR="00652F9A" w:rsidRDefault="00652F9A" w:rsidP="00652F9A">
      <w:pPr>
        <w:pStyle w:val="BodyCopy"/>
        <w:rPr>
          <w:rFonts w:ascii="ArialNarrowMTStd" w:hAnsi="ArialNarrowMTStd" w:cs="ArialNarrowMTStd"/>
        </w:rPr>
      </w:pPr>
      <w:r>
        <w:rPr>
          <w:rFonts w:ascii="ArialNarrowMTStd-Bold" w:hAnsi="ArialNarrowMTStd-Bold" w:cs="ArialNarrowMTStd-Bold"/>
          <w:b/>
          <w:bCs/>
        </w:rPr>
        <w:t>Signs of Deterioration:</w:t>
      </w:r>
      <w:r>
        <w:rPr>
          <w:rFonts w:ascii="ArialNarrowMTStd" w:hAnsi="ArialNarrowMTStd" w:cs="ArialNarrowMTStd"/>
        </w:rPr>
        <w:t xml:space="preserve"> A normal isoenzyme pattern should separate into two bands if enhancer is functioning properly.</w:t>
      </w:r>
    </w:p>
    <w:p w14:paraId="6E6EDC4C" w14:textId="77777777"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 xml:space="preserve">5. </w:t>
      </w:r>
      <w:r>
        <w:rPr>
          <w:rFonts w:ascii="ArialNarrowMTStd" w:hAnsi="ArialNarrowMTStd" w:cs="ArialNarrowMTStd"/>
          <w:b w:val="0"/>
          <w:bCs w:val="0"/>
        </w:rPr>
        <w:tab/>
        <w:t xml:space="preserve">Citric Acid </w:t>
      </w:r>
      <w:proofErr w:type="spellStart"/>
      <w:r>
        <w:rPr>
          <w:rFonts w:ascii="ArialNarrowMTStd" w:hAnsi="ArialNarrowMTStd" w:cs="ArialNarrowMTStd"/>
          <w:b w:val="0"/>
          <w:bCs w:val="0"/>
        </w:rPr>
        <w:t>Destain</w:t>
      </w:r>
      <w:proofErr w:type="spellEnd"/>
    </w:p>
    <w:p w14:paraId="2E0654AF" w14:textId="27541AC6" w:rsidR="00652F9A" w:rsidRDefault="00652F9A" w:rsidP="00652F9A">
      <w:pPr>
        <w:pStyle w:val="BodyCopy"/>
        <w:rPr>
          <w:rFonts w:ascii="ArialNarrowMTStd" w:hAnsi="ArialNarrowMTStd" w:cs="ArialNarrowMTStd"/>
        </w:rPr>
      </w:pPr>
      <w:r>
        <w:rPr>
          <w:rFonts w:ascii="ArialNarrowMTStd-Bold" w:hAnsi="ArialNarrowMTStd-Bold" w:cs="ArialNarrowMTStd-Bold"/>
          <w:b/>
          <w:bCs/>
        </w:rPr>
        <w:t>Ingredients:</w:t>
      </w:r>
      <w:r>
        <w:rPr>
          <w:rFonts w:ascii="ArialNarrowMTStd" w:hAnsi="ArialNarrowMTStd" w:cs="ArialNarrowMTStd"/>
        </w:rPr>
        <w:t xml:space="preserve"> After dissolution, the </w:t>
      </w:r>
      <w:proofErr w:type="spellStart"/>
      <w:r>
        <w:rPr>
          <w:rFonts w:ascii="ArialNarrowMTStd" w:hAnsi="ArialNarrowMTStd" w:cs="ArialNarrowMTStd"/>
        </w:rPr>
        <w:t>destain</w:t>
      </w:r>
      <w:proofErr w:type="spellEnd"/>
      <w:r>
        <w:rPr>
          <w:rFonts w:ascii="ArialNarrowMTStd" w:hAnsi="ArialNarrowMTStd" w:cs="ArialNarrowMTStd"/>
        </w:rPr>
        <w:t xml:space="preserve"> contains 0.3% (w/v) citric acid.</w:t>
      </w:r>
    </w:p>
    <w:p w14:paraId="43EB87D4" w14:textId="22F4C786" w:rsidR="00652F9A" w:rsidRDefault="00652F9A" w:rsidP="00652F9A">
      <w:pPr>
        <w:pStyle w:val="BodyCopy"/>
        <w:rPr>
          <w:rFonts w:ascii="ArialNarrowMTStd-Bold" w:hAnsi="ArialNarrowMTStd-Bold" w:cs="ArialNarrowMTStd-Bold"/>
          <w:b/>
          <w:bCs/>
        </w:rPr>
      </w:pPr>
      <w:r>
        <w:rPr>
          <w:rFonts w:ascii="ArialNarrowMTStd-Bold" w:hAnsi="ArialNarrowMTStd-Bold" w:cs="ArialNarrowMTStd-Bold"/>
          <w:b/>
          <w:bCs/>
        </w:rPr>
        <w:t>WARNING: FOR IN-VITRO DIAGNOSTIC USE. DO NOT INGEST - IRRITANT.</w:t>
      </w:r>
    </w:p>
    <w:p w14:paraId="3DC6AA14" w14:textId="2A173D81" w:rsidR="00652F9A" w:rsidRDefault="00652F9A" w:rsidP="00652F9A">
      <w:pPr>
        <w:pStyle w:val="BodyCopy"/>
        <w:rPr>
          <w:rFonts w:ascii="ArialNarrowMTStd" w:hAnsi="ArialNarrowMTStd" w:cs="ArialNarrowMTStd"/>
        </w:rPr>
      </w:pPr>
      <w:r>
        <w:rPr>
          <w:rFonts w:ascii="ArialNarrowMTStd-Bold" w:hAnsi="ArialNarrowMTStd-Bold" w:cs="ArialNarrowMTStd-Bold"/>
          <w:b/>
          <w:bCs/>
        </w:rPr>
        <w:t xml:space="preserve">Preparation for Use: </w:t>
      </w:r>
      <w:r>
        <w:rPr>
          <w:rFonts w:ascii="ArialNarrowMTStd" w:hAnsi="ArialNarrowMTStd" w:cs="ArialNarrowMTStd"/>
        </w:rPr>
        <w:t xml:space="preserve">Pour 11 L of deionized water into the </w:t>
      </w:r>
      <w:proofErr w:type="spellStart"/>
      <w:r>
        <w:rPr>
          <w:rFonts w:ascii="ArialNarrowMTStd" w:hAnsi="ArialNarrowMTStd" w:cs="ArialNarrowMTStd"/>
        </w:rPr>
        <w:t>Destain</w:t>
      </w:r>
      <w:proofErr w:type="spellEnd"/>
      <w:r>
        <w:rPr>
          <w:rFonts w:ascii="ArialNarrowMTStd" w:hAnsi="ArialNarrowMTStd" w:cs="ArialNarrowMTStd"/>
        </w:rPr>
        <w:t xml:space="preserve"> vat. Add the entire package of </w:t>
      </w:r>
      <w:proofErr w:type="spellStart"/>
      <w:r>
        <w:rPr>
          <w:rFonts w:ascii="ArialNarrowMTStd" w:hAnsi="ArialNarrowMTStd" w:cs="ArialNarrowMTStd"/>
        </w:rPr>
        <w:t>Destain</w:t>
      </w:r>
      <w:proofErr w:type="spellEnd"/>
      <w:r>
        <w:rPr>
          <w:rFonts w:ascii="ArialNarrowMTStd" w:hAnsi="ArialNarrowMTStd" w:cs="ArialNarrowMTStd"/>
        </w:rPr>
        <w:t>. Mix well until completely dissolved.</w:t>
      </w:r>
    </w:p>
    <w:p w14:paraId="0977A7D9" w14:textId="00156924" w:rsidR="00652F9A" w:rsidRDefault="00652F9A" w:rsidP="00652F9A">
      <w:pPr>
        <w:pStyle w:val="BodyCopy"/>
        <w:rPr>
          <w:rFonts w:ascii="ArialNarrowMTStd" w:hAnsi="ArialNarrowMTStd" w:cs="ArialNarrowMTStd"/>
        </w:rPr>
      </w:pPr>
      <w:r>
        <w:rPr>
          <w:rFonts w:ascii="ArialNarrowMTStd-Bold" w:hAnsi="ArialNarrowMTStd-Bold" w:cs="ArialNarrowMTStd-Bold"/>
          <w:b/>
          <w:bCs/>
        </w:rPr>
        <w:t>Storage and Stability:</w:t>
      </w:r>
      <w:r>
        <w:rPr>
          <w:rFonts w:ascii="ArialNarrowMTStd" w:hAnsi="ArialNarrowMTStd" w:cs="ArialNarrowMTStd"/>
        </w:rPr>
        <w:t xml:space="preserve"> Store the </w:t>
      </w:r>
      <w:proofErr w:type="spellStart"/>
      <w:r>
        <w:rPr>
          <w:rFonts w:ascii="ArialNarrowMTStd" w:hAnsi="ArialNarrowMTStd" w:cs="ArialNarrowMTStd"/>
        </w:rPr>
        <w:t>Destain</w:t>
      </w:r>
      <w:proofErr w:type="spellEnd"/>
      <w:r>
        <w:rPr>
          <w:rFonts w:ascii="ArialNarrowMTStd" w:hAnsi="ArialNarrowMTStd" w:cs="ArialNarrowMTStd"/>
        </w:rPr>
        <w:t xml:space="preserve"> at 15 to 30°C. It is stable until the expiration date on the package.</w:t>
      </w:r>
    </w:p>
    <w:p w14:paraId="4E6ED67F" w14:textId="506F4AE4" w:rsidR="00652F9A" w:rsidRDefault="00652F9A" w:rsidP="00652F9A">
      <w:pPr>
        <w:pStyle w:val="BodyCopy"/>
        <w:rPr>
          <w:rFonts w:ascii="ArialNarrowMTStd" w:hAnsi="ArialNarrowMTStd" w:cs="ArialNarrowMTStd"/>
        </w:rPr>
      </w:pPr>
      <w:r>
        <w:rPr>
          <w:rFonts w:ascii="ArialNarrowMTStd-Bold" w:hAnsi="ArialNarrowMTStd-Bold" w:cs="ArialNarrowMTStd-Bold"/>
          <w:b/>
          <w:bCs/>
        </w:rPr>
        <w:t>Signs of Deterioration:</w:t>
      </w:r>
      <w:r>
        <w:rPr>
          <w:rFonts w:ascii="ArialNarrowMTStd" w:hAnsi="ArialNarrowMTStd" w:cs="ArialNarrowMTStd"/>
        </w:rPr>
        <w:t xml:space="preserve"> Discard if solution becomes cloudy.</w:t>
      </w:r>
    </w:p>
    <w:p w14:paraId="5898EB3D" w14:textId="77777777" w:rsidR="00652F9A" w:rsidRDefault="00652F9A" w:rsidP="00652F9A">
      <w:pPr>
        <w:pStyle w:val="Header"/>
        <w:rPr>
          <w:rFonts w:ascii="ArialNarrowMTStd-Bold" w:hAnsi="ArialNarrowMTStd-Bold" w:cs="ArialNarrowMTStd-Bold"/>
        </w:rPr>
      </w:pPr>
    </w:p>
    <w:p w14:paraId="0D27957D" w14:textId="77777777" w:rsidR="00652F9A" w:rsidRDefault="00652F9A" w:rsidP="00652F9A">
      <w:pPr>
        <w:pStyle w:val="Header"/>
        <w:rPr>
          <w:rFonts w:ascii="ArialNarrowMTStd-Bold" w:hAnsi="ArialNarrowMTStd-Bold" w:cs="ArialNarrowMTStd-Bold"/>
        </w:rPr>
      </w:pPr>
      <w:r>
        <w:rPr>
          <w:rFonts w:ascii="ArialNarrowMTStd-Bold" w:hAnsi="ArialNarrowMTStd-Bold" w:cs="ArialNarrowMTStd-Bold"/>
        </w:rPr>
        <w:t>INSTRUMENTS</w:t>
      </w:r>
    </w:p>
    <w:p w14:paraId="429E9D99" w14:textId="77777777" w:rsidR="00652F9A" w:rsidRDefault="00652F9A" w:rsidP="00652F9A">
      <w:pPr>
        <w:pStyle w:val="BodyCopy"/>
        <w:rPr>
          <w:rFonts w:ascii="ArialNarrowMTStd-Bold" w:hAnsi="ArialNarrowMTStd-Bold" w:cs="ArialNarrowMTStd-Bold"/>
          <w:b/>
          <w:bCs/>
        </w:rPr>
      </w:pPr>
      <w:r>
        <w:rPr>
          <w:rFonts w:ascii="ArialNarrowMTStd-Bold" w:hAnsi="ArialNarrowMTStd-Bold" w:cs="ArialNarrowMTStd-Bold"/>
          <w:b/>
          <w:bCs/>
        </w:rPr>
        <w:t>A SPIFE Touch Analyzer must be used to electrophorese and incubate the gel. The gel can be scanned on a densitometer such as the Quick Scan Touch/2000 (Cat. No. 1690/1660). Refer to the appropriate Operator’s Manual for detailed operating instructions.</w:t>
      </w:r>
    </w:p>
    <w:p w14:paraId="5A10D178" w14:textId="77777777" w:rsidR="00652F9A" w:rsidRDefault="00652F9A" w:rsidP="00652F9A">
      <w:pPr>
        <w:pStyle w:val="Header"/>
        <w:rPr>
          <w:rFonts w:ascii="ArialNarrowMTStd-Bold" w:hAnsi="ArialNarrowMTStd-Bold" w:cs="ArialNarrowMTStd-Bold"/>
        </w:rPr>
      </w:pPr>
      <w:r>
        <w:rPr>
          <w:rFonts w:ascii="ArialNarrowMTStd-Bold" w:hAnsi="ArialNarrowMTStd-Bold" w:cs="ArialNarrowMTStd-Bold"/>
        </w:rPr>
        <w:t>SPECIMEN COLLECTION AND HANDLING</w:t>
      </w:r>
    </w:p>
    <w:p w14:paraId="5240CF18" w14:textId="77777777" w:rsidR="00652F9A" w:rsidRDefault="00652F9A" w:rsidP="00652F9A">
      <w:pPr>
        <w:pStyle w:val="BodyCopy"/>
        <w:rPr>
          <w:rFonts w:ascii="ArialNarrowMTStd" w:hAnsi="ArialNarrowMTStd" w:cs="ArialNarrowMTStd"/>
        </w:rPr>
      </w:pPr>
      <w:r>
        <w:rPr>
          <w:rFonts w:ascii="ArialNarrowMTStd-Bold" w:hAnsi="ArialNarrowMTStd-Bold" w:cs="ArialNarrowMTStd-Bold"/>
          <w:b/>
          <w:bCs/>
          <w:spacing w:val="2"/>
        </w:rPr>
        <w:t xml:space="preserve">Specimen: </w:t>
      </w:r>
      <w:r>
        <w:rPr>
          <w:rFonts w:ascii="ArialNarrowMTStd" w:hAnsi="ArialNarrowMTStd" w:cs="ArialNarrowMTStd"/>
          <w:spacing w:val="2"/>
        </w:rPr>
        <w:t>Serum is the specimen of choice. Anticoagulants containing oxalate, citrate or EDTA cannot be used because these substances inhibit the alkaline phosphatase activity.</w:t>
      </w:r>
      <w:r>
        <w:rPr>
          <w:rFonts w:ascii="ArialNarrowMTStd" w:hAnsi="ArialNarrowMTStd" w:cs="ArialNarrowMTStd"/>
          <w:spacing w:val="2"/>
          <w:vertAlign w:val="superscript"/>
        </w:rPr>
        <w:t xml:space="preserve">17 </w:t>
      </w:r>
      <w:r>
        <w:rPr>
          <w:rFonts w:ascii="ArialNarrowMTStd" w:hAnsi="ArialNarrowMTStd" w:cs="ArialNarrowMTStd"/>
          <w:spacing w:val="2"/>
        </w:rPr>
        <w:t>Total alkaline phosphatase activity should be determined.</w:t>
      </w:r>
    </w:p>
    <w:p w14:paraId="1B55B824" w14:textId="77777777" w:rsidR="00652F9A" w:rsidRDefault="00652F9A" w:rsidP="00652F9A">
      <w:pPr>
        <w:pStyle w:val="BodyCopy"/>
        <w:rPr>
          <w:rFonts w:ascii="ArialNarrowMTStd" w:hAnsi="ArialNarrowMTStd" w:cs="ArialNarrowMTStd"/>
        </w:rPr>
      </w:pPr>
      <w:r>
        <w:rPr>
          <w:rFonts w:ascii="ArialNarrowMTStd-Bold" w:hAnsi="ArialNarrowMTStd-Bold" w:cs="ArialNarrowMTStd-Bold"/>
          <w:b/>
          <w:bCs/>
        </w:rPr>
        <w:t xml:space="preserve">Patient Preparation: </w:t>
      </w:r>
      <w:r>
        <w:rPr>
          <w:rFonts w:ascii="ArialNarrowMTStd" w:hAnsi="ArialNarrowMTStd" w:cs="ArialNarrowMTStd"/>
        </w:rPr>
        <w:t>The patient should be fasting. Patients who have B or O blood group and are secretors may have an elevated ALP about two hours after a fatty meal.</w:t>
      </w:r>
      <w:r>
        <w:rPr>
          <w:rFonts w:ascii="ArialNarrowMTStd" w:hAnsi="ArialNarrowMTStd" w:cs="ArialNarrowMTStd"/>
          <w:vertAlign w:val="superscript"/>
        </w:rPr>
        <w:t>6,12,17,20,21</w:t>
      </w:r>
    </w:p>
    <w:p w14:paraId="4286108C" w14:textId="77777777" w:rsidR="00652F9A" w:rsidRPr="008E196B" w:rsidRDefault="00652F9A" w:rsidP="00652F9A">
      <w:pPr>
        <w:pStyle w:val="Bodycopybold"/>
        <w:rPr>
          <w:rFonts w:ascii="ArialNarrowMTStd" w:hAnsi="ArialNarrowMTStd" w:cs="ArialNarrowMTStd"/>
        </w:rPr>
      </w:pPr>
      <w:r w:rsidRPr="008E196B">
        <w:rPr>
          <w:rFonts w:ascii="ArialNarrowMTStd" w:hAnsi="ArialNarrowMTStd" w:cs="ArialNarrowMTStd"/>
        </w:rPr>
        <w:t>Interfering Substances:</w:t>
      </w:r>
    </w:p>
    <w:p w14:paraId="2C35B20A" w14:textId="7760A58D" w:rsidR="00652F9A" w:rsidRDefault="008E196B" w:rsidP="00652F9A">
      <w:pPr>
        <w:pStyle w:val="BodyCopy"/>
        <w:rPr>
          <w:rFonts w:ascii="ArialNarrowMTStd" w:hAnsi="ArialNarrowMTStd" w:cs="ArialNarrowMTStd"/>
          <w:vertAlign w:val="superscript"/>
        </w:rPr>
      </w:pPr>
      <w:r>
        <w:rPr>
          <w:rFonts w:ascii="ArialNarrowMTStd" w:hAnsi="ArialNarrowMTStd" w:cs="ArialNarrowMTStd"/>
        </w:rPr>
        <w:t>1.</w:t>
      </w:r>
      <w:r>
        <w:rPr>
          <w:rFonts w:ascii="ArialNarrowMTStd" w:hAnsi="ArialNarrowMTStd" w:cs="ArialNarrowMTStd"/>
        </w:rPr>
        <w:tab/>
      </w:r>
      <w:r w:rsidR="00652F9A">
        <w:rPr>
          <w:rFonts w:ascii="ArialNarrowMTStd" w:hAnsi="ArialNarrowMTStd" w:cs="ArialNarrowMTStd"/>
        </w:rPr>
        <w:t>High concentrations of phosphate, oxalate, citrate and cyanide will inhibit ALP activity.</w:t>
      </w:r>
      <w:r w:rsidR="00652F9A">
        <w:rPr>
          <w:rFonts w:ascii="ArialNarrowMTStd" w:hAnsi="ArialNarrowMTStd" w:cs="ArialNarrowMTStd"/>
          <w:vertAlign w:val="superscript"/>
        </w:rPr>
        <w:t>17,20</w:t>
      </w:r>
    </w:p>
    <w:p w14:paraId="22FBE1AE" w14:textId="77777777" w:rsidR="00652F9A" w:rsidRDefault="00652F9A" w:rsidP="00652F9A">
      <w:pPr>
        <w:pStyle w:val="BodyCopy"/>
        <w:rPr>
          <w:rFonts w:ascii="ArialNarrowMTStd" w:hAnsi="ArialNarrowMTStd" w:cs="ArialNarrowMTStd"/>
        </w:rPr>
      </w:pPr>
      <w:r>
        <w:rPr>
          <w:rFonts w:ascii="ArialNarrowMTStd" w:hAnsi="ArialNarrowMTStd" w:cs="ArialNarrowMTStd"/>
        </w:rPr>
        <w:t>2.</w:t>
      </w:r>
      <w:r>
        <w:rPr>
          <w:rFonts w:ascii="ArialNarrowMTStd" w:hAnsi="ArialNarrowMTStd" w:cs="ArialNarrowMTStd"/>
        </w:rPr>
        <w:tab/>
        <w:t>Excess glycine may inhibit ALP activity by complexing Mg</w:t>
      </w:r>
      <w:r>
        <w:rPr>
          <w:rFonts w:ascii="ArialNarrowMTStd" w:hAnsi="ArialNarrowMTStd" w:cs="ArialNarrowMTStd"/>
          <w:vertAlign w:val="superscript"/>
        </w:rPr>
        <w:t>2</w:t>
      </w:r>
      <w:r>
        <w:rPr>
          <w:rFonts w:ascii="ArialNarrowMTStd" w:hAnsi="ArialNarrowMTStd" w:cs="ArialNarrowMTStd"/>
          <w:position w:val="4"/>
          <w:vertAlign w:val="superscript"/>
        </w:rPr>
        <w:t>+</w:t>
      </w:r>
      <w:r>
        <w:rPr>
          <w:rFonts w:ascii="ArialNarrowMTStd" w:hAnsi="ArialNarrowMTStd" w:cs="ArialNarrowMTStd"/>
        </w:rPr>
        <w:t>.</w:t>
      </w:r>
      <w:r>
        <w:rPr>
          <w:rFonts w:ascii="ArialNarrowMTStd" w:hAnsi="ArialNarrowMTStd" w:cs="ArialNarrowMTStd"/>
          <w:vertAlign w:val="superscript"/>
        </w:rPr>
        <w:t>17</w:t>
      </w:r>
    </w:p>
    <w:p w14:paraId="340DA4F5" w14:textId="332ABEAA" w:rsidR="00652F9A" w:rsidRDefault="008E196B" w:rsidP="00652F9A">
      <w:pPr>
        <w:pStyle w:val="BodyCopy"/>
        <w:rPr>
          <w:rFonts w:ascii="ArialNarrowMTStd" w:hAnsi="ArialNarrowMTStd" w:cs="ArialNarrowMTStd"/>
        </w:rPr>
      </w:pPr>
      <w:r>
        <w:rPr>
          <w:rFonts w:ascii="ArialNarrowMTStd" w:hAnsi="ArialNarrowMTStd" w:cs="ArialNarrowMTStd"/>
        </w:rPr>
        <w:t>3.</w:t>
      </w:r>
      <w:r>
        <w:rPr>
          <w:rFonts w:ascii="ArialNarrowMTStd" w:hAnsi="ArialNarrowMTStd" w:cs="ArialNarrowMTStd"/>
        </w:rPr>
        <w:tab/>
      </w:r>
      <w:r w:rsidR="00652F9A">
        <w:rPr>
          <w:rFonts w:ascii="ArialNarrowMTStd" w:hAnsi="ArialNarrowMTStd" w:cs="ArialNarrowMTStd"/>
        </w:rPr>
        <w:t>EDTA inhibits some of the isoenzymes of ALP. Do not use as an anticoagulant.</w:t>
      </w:r>
      <w:r w:rsidR="00652F9A">
        <w:rPr>
          <w:rFonts w:ascii="ArialNarrowMTStd" w:hAnsi="ArialNarrowMTStd" w:cs="ArialNarrowMTStd"/>
          <w:vertAlign w:val="superscript"/>
        </w:rPr>
        <w:t>17</w:t>
      </w:r>
    </w:p>
    <w:p w14:paraId="21198985" w14:textId="2373C88F" w:rsidR="00652F9A" w:rsidRDefault="00652F9A" w:rsidP="00652F9A">
      <w:pPr>
        <w:pStyle w:val="BodyCopy"/>
        <w:rPr>
          <w:rFonts w:ascii="ArialNarrowMTStd" w:hAnsi="ArialNarrowMTStd" w:cs="ArialNarrowMTStd"/>
        </w:rPr>
      </w:pPr>
      <w:r>
        <w:rPr>
          <w:rFonts w:ascii="ArialNarrowMTStd" w:hAnsi="ArialNarrowMTStd" w:cs="ArialNarrowMTStd"/>
        </w:rPr>
        <w:t>4</w:t>
      </w:r>
      <w:r w:rsidR="008E196B">
        <w:rPr>
          <w:rFonts w:ascii="ArialNarrowMTStd" w:hAnsi="ArialNarrowMTStd" w:cs="ArialNarrowMTStd"/>
        </w:rPr>
        <w:t>.</w:t>
      </w:r>
      <w:r w:rsidR="008E196B">
        <w:rPr>
          <w:rFonts w:ascii="ArialNarrowMTStd" w:hAnsi="ArialNarrowMTStd" w:cs="ArialNarrowMTStd"/>
        </w:rPr>
        <w:tab/>
      </w:r>
      <w:r>
        <w:rPr>
          <w:rFonts w:ascii="ArialNarrowMTStd" w:hAnsi="ArialNarrowMTStd" w:cs="ArialNarrowMTStd"/>
        </w:rPr>
        <w:t>Several drugs cause an enzymatic imbalance which may change the ALP level.</w:t>
      </w:r>
      <w:r>
        <w:rPr>
          <w:rFonts w:ascii="ArialNarrowMTStd" w:hAnsi="ArialNarrowMTStd" w:cs="ArialNarrowMTStd"/>
          <w:vertAlign w:val="superscript"/>
        </w:rPr>
        <w:t>17,18</w:t>
      </w:r>
    </w:p>
    <w:p w14:paraId="6BBD6810" w14:textId="77777777" w:rsidR="00652F9A" w:rsidRPr="008E196B" w:rsidRDefault="00652F9A" w:rsidP="00652F9A">
      <w:pPr>
        <w:pStyle w:val="BasicParagraph"/>
        <w:rPr>
          <w:rStyle w:val="CharacterStyle1"/>
          <w:sz w:val="18"/>
          <w:szCs w:val="18"/>
          <w:u w:val="single"/>
        </w:rPr>
      </w:pPr>
      <w:r>
        <w:rPr>
          <w:rFonts w:ascii="ArialNarrowMTStd-Bold" w:hAnsi="ArialNarrowMTStd-Bold" w:cs="ArialNarrowMTStd-Bold"/>
          <w:b/>
          <w:bCs/>
          <w:sz w:val="18"/>
          <w:szCs w:val="18"/>
        </w:rPr>
        <w:t>Storage and Stability:</w:t>
      </w:r>
      <w:r>
        <w:rPr>
          <w:rFonts w:ascii="ArialNarrowMTStd" w:hAnsi="ArialNarrowMTStd" w:cs="ArialNarrowMTStd"/>
          <w:sz w:val="18"/>
          <w:szCs w:val="18"/>
        </w:rPr>
        <w:t xml:space="preserve"> It is preferable to refrigerate the blood specimen immediately after collection. Specimens should be separated from the red blood cells as soon as possible. It is strongly recommended that fresh serum samples be used. </w:t>
      </w:r>
      <w:r w:rsidRPr="008E196B">
        <w:rPr>
          <w:rStyle w:val="CharacterStyle1"/>
          <w:sz w:val="18"/>
          <w:szCs w:val="18"/>
          <w:u w:val="single"/>
        </w:rPr>
        <w:t>If storage is necessary, the serum should be stored at ambient room temperatures, refrigerated (2-8</w:t>
      </w:r>
      <w:r w:rsidRPr="008E196B">
        <w:rPr>
          <w:rStyle w:val="CharacterStyle1"/>
          <w:spacing w:val="-1"/>
          <w:sz w:val="18"/>
          <w:szCs w:val="18"/>
          <w:u w:val="single"/>
        </w:rPr>
        <w:t>°</w:t>
      </w:r>
      <w:r w:rsidRPr="008E196B">
        <w:rPr>
          <w:rStyle w:val="CharacterStyle1"/>
          <w:sz w:val="18"/>
          <w:szCs w:val="18"/>
          <w:u w:val="single"/>
        </w:rPr>
        <w:t>C) or frozen (-20</w:t>
      </w:r>
      <w:r w:rsidRPr="008E196B">
        <w:rPr>
          <w:rStyle w:val="CharacterStyle1"/>
          <w:spacing w:val="-1"/>
          <w:sz w:val="18"/>
          <w:szCs w:val="18"/>
          <w:u w:val="single"/>
        </w:rPr>
        <w:t>°</w:t>
      </w:r>
      <w:r w:rsidRPr="008E196B">
        <w:rPr>
          <w:rStyle w:val="CharacterStyle1"/>
          <w:sz w:val="18"/>
          <w:szCs w:val="18"/>
          <w:u w:val="single"/>
        </w:rPr>
        <w:t>C) for up to 7 days.</w:t>
      </w:r>
    </w:p>
    <w:p w14:paraId="2BE1EA2C" w14:textId="77777777" w:rsidR="008E196B" w:rsidRDefault="008E196B" w:rsidP="00652F9A">
      <w:pPr>
        <w:pStyle w:val="BasicParagraph"/>
        <w:rPr>
          <w:rFonts w:ascii="ArialNarrowMTStd-Bold" w:hAnsi="ArialNarrowMTStd-Bold" w:cs="ArialNarrowMTStd-Bold"/>
          <w:b/>
          <w:bCs/>
          <w:spacing w:val="-1"/>
          <w:sz w:val="20"/>
          <w:szCs w:val="20"/>
        </w:rPr>
      </w:pPr>
    </w:p>
    <w:p w14:paraId="5C4E2938" w14:textId="77777777" w:rsidR="00652F9A" w:rsidRDefault="00652F9A" w:rsidP="00652F9A">
      <w:pPr>
        <w:pStyle w:val="BasicParagraph"/>
        <w:rPr>
          <w:rFonts w:ascii="ArialNarrowMTStd-Bold" w:hAnsi="ArialNarrowMTStd-Bold" w:cs="ArialNarrowMTStd-Bold"/>
          <w:b/>
          <w:bCs/>
          <w:spacing w:val="-1"/>
          <w:sz w:val="20"/>
          <w:szCs w:val="20"/>
        </w:rPr>
      </w:pPr>
      <w:r>
        <w:rPr>
          <w:rFonts w:ascii="ArialNarrowMTStd-Bold" w:hAnsi="ArialNarrowMTStd-Bold" w:cs="ArialNarrowMTStd-Bold"/>
          <w:b/>
          <w:bCs/>
          <w:spacing w:val="-1"/>
          <w:sz w:val="20"/>
          <w:szCs w:val="20"/>
        </w:rPr>
        <w:t>PROCEDURE</w:t>
      </w:r>
    </w:p>
    <w:p w14:paraId="3D90297A" w14:textId="77777777" w:rsidR="00652F9A" w:rsidRDefault="00652F9A" w:rsidP="00652F9A">
      <w:pPr>
        <w:pStyle w:val="BodyCopy"/>
        <w:rPr>
          <w:rFonts w:ascii="ArialNarrowMTStd" w:hAnsi="ArialNarrowMTStd" w:cs="ArialNarrowMTStd"/>
        </w:rPr>
      </w:pPr>
      <w:r>
        <w:rPr>
          <w:rFonts w:ascii="ArialNarrowMTStd-Bold" w:hAnsi="ArialNarrowMTStd-Bold" w:cs="ArialNarrowMTStd-Bold"/>
          <w:b/>
          <w:bCs/>
        </w:rPr>
        <w:t xml:space="preserve">Materials Provided: </w:t>
      </w:r>
      <w:r>
        <w:rPr>
          <w:rFonts w:ascii="ArialNarrowMTStd" w:hAnsi="ArialNarrowMTStd" w:cs="ArialNarrowMTStd"/>
        </w:rPr>
        <w:t>The following materials are provided in the SPIFE Alkaline Phosphatase Kit:</w:t>
      </w:r>
    </w:p>
    <w:p w14:paraId="5E9408E2" w14:textId="77777777" w:rsidR="00652F9A" w:rsidRPr="008E196B" w:rsidRDefault="00652F9A" w:rsidP="00652F9A">
      <w:pPr>
        <w:pStyle w:val="BodyCopy"/>
        <w:tabs>
          <w:tab w:val="clear" w:pos="220"/>
          <w:tab w:val="clear" w:pos="440"/>
          <w:tab w:val="clear" w:pos="640"/>
          <w:tab w:val="clear" w:pos="840"/>
          <w:tab w:val="left" w:pos="280"/>
          <w:tab w:val="left" w:pos="4140"/>
        </w:tabs>
        <w:rPr>
          <w:rFonts w:ascii="ArialNarrowMTStd" w:hAnsi="ArialNarrowMTStd" w:cs="ArialNarrowMTStd"/>
          <w:u w:val="single"/>
        </w:rPr>
      </w:pPr>
      <w:r>
        <w:rPr>
          <w:rFonts w:ascii="ArialNarrowMTStd" w:hAnsi="ArialNarrowMTStd" w:cs="ArialNarrowMTStd"/>
          <w:u w:color="000000"/>
        </w:rPr>
        <w:tab/>
      </w:r>
      <w:r w:rsidRPr="008E196B">
        <w:rPr>
          <w:rFonts w:ascii="ArialNarrowMTStd-Bold" w:hAnsi="ArialNarrowMTStd-Bold" w:cs="ArialNarrowMTStd-Bold"/>
          <w:b/>
          <w:bCs/>
          <w:u w:val="single"/>
        </w:rPr>
        <w:t>Sample Test Size</w:t>
      </w:r>
      <w:r w:rsidRPr="008E196B">
        <w:rPr>
          <w:rFonts w:ascii="ArialNarrowMTStd" w:hAnsi="ArialNarrowMTStd" w:cs="ArialNarrowMTStd"/>
          <w:u w:val="single"/>
        </w:rPr>
        <w:t xml:space="preserve"> </w:t>
      </w:r>
      <w:r w:rsidRPr="008E196B">
        <w:rPr>
          <w:rFonts w:ascii="ArialNarrowMTStd" w:hAnsi="ArialNarrowMTStd" w:cs="ArialNarrowMTStd"/>
          <w:u w:val="single"/>
        </w:rPr>
        <w:tab/>
        <w:t xml:space="preserve"> </w:t>
      </w:r>
      <w:r w:rsidRPr="008E196B">
        <w:rPr>
          <w:rFonts w:ascii="ArialNarrowMTStd-Bold" w:hAnsi="ArialNarrowMTStd-Bold" w:cs="ArialNarrowMTStd-Bold"/>
          <w:b/>
          <w:bCs/>
          <w:u w:val="single"/>
        </w:rPr>
        <w:t xml:space="preserve">Cat. No. </w:t>
      </w:r>
    </w:p>
    <w:p w14:paraId="70259E97" w14:textId="77777777" w:rsidR="00652F9A" w:rsidRDefault="00652F9A" w:rsidP="00652F9A">
      <w:pPr>
        <w:pStyle w:val="BodyCopy"/>
        <w:tabs>
          <w:tab w:val="clear" w:pos="220"/>
          <w:tab w:val="clear" w:pos="440"/>
          <w:tab w:val="clear" w:pos="640"/>
          <w:tab w:val="clear" w:pos="840"/>
          <w:tab w:val="left" w:pos="280"/>
          <w:tab w:val="left" w:pos="4260"/>
        </w:tabs>
        <w:rPr>
          <w:rFonts w:ascii="ArialNarrowMTStd" w:hAnsi="ArialNarrowMTStd" w:cs="ArialNarrowMTStd"/>
        </w:rPr>
      </w:pPr>
      <w:r>
        <w:rPr>
          <w:rFonts w:ascii="ArialNarrowMTStd" w:hAnsi="ArialNarrowMTStd" w:cs="ArialNarrowMTStd"/>
        </w:rPr>
        <w:tab/>
        <w:t xml:space="preserve">    40 sample</w:t>
      </w:r>
      <w:r>
        <w:rPr>
          <w:rFonts w:ascii="ArialNarrowMTStd" w:hAnsi="ArialNarrowMTStd" w:cs="ArialNarrowMTStd"/>
        </w:rPr>
        <w:tab/>
        <w:t>3346</w:t>
      </w:r>
    </w:p>
    <w:p w14:paraId="6E41F48C" w14:textId="77777777" w:rsidR="00652F9A" w:rsidRDefault="00652F9A" w:rsidP="00652F9A">
      <w:pPr>
        <w:pStyle w:val="BodyCopy"/>
        <w:tabs>
          <w:tab w:val="clear" w:pos="220"/>
          <w:tab w:val="clear" w:pos="440"/>
          <w:tab w:val="clear" w:pos="640"/>
          <w:tab w:val="clear" w:pos="840"/>
          <w:tab w:val="left" w:pos="280"/>
          <w:tab w:val="left" w:pos="4260"/>
        </w:tabs>
        <w:rPr>
          <w:rFonts w:ascii="ArialNarrowMTStd" w:hAnsi="ArialNarrowMTStd" w:cs="ArialNarrowMTStd"/>
        </w:rPr>
      </w:pPr>
      <w:r>
        <w:rPr>
          <w:rFonts w:ascii="ArialNarrowMTStd" w:hAnsi="ArialNarrowMTStd" w:cs="ArialNarrowMTStd"/>
        </w:rPr>
        <w:tab/>
        <w:t xml:space="preserve">    20 sample</w:t>
      </w:r>
      <w:r>
        <w:rPr>
          <w:rFonts w:ascii="ArialNarrowMTStd" w:hAnsi="ArialNarrowMTStd" w:cs="ArialNarrowMTStd"/>
        </w:rPr>
        <w:tab/>
        <w:t>3345</w:t>
      </w:r>
    </w:p>
    <w:p w14:paraId="734F9C10" w14:textId="77777777" w:rsidR="00652F9A" w:rsidRDefault="00652F9A" w:rsidP="00652F9A">
      <w:pPr>
        <w:pStyle w:val="BodyCopy"/>
        <w:tabs>
          <w:tab w:val="clear" w:pos="220"/>
          <w:tab w:val="clear" w:pos="440"/>
          <w:tab w:val="clear" w:pos="640"/>
          <w:tab w:val="clear" w:pos="840"/>
          <w:tab w:val="left" w:pos="280"/>
          <w:tab w:val="left" w:pos="4260"/>
        </w:tabs>
        <w:rPr>
          <w:rFonts w:ascii="ArialNarrowMTStd" w:hAnsi="ArialNarrowMTStd" w:cs="ArialNarrowMTStd"/>
        </w:rPr>
      </w:pPr>
      <w:r>
        <w:rPr>
          <w:rFonts w:ascii="ArialNarrowMTStd" w:hAnsi="ArialNarrowMTStd" w:cs="ArialNarrowMTStd"/>
        </w:rPr>
        <w:tab/>
        <w:t>SPIFE Alkaline Phosphatase Gels (10)</w:t>
      </w:r>
    </w:p>
    <w:p w14:paraId="5022FFBB" w14:textId="77777777" w:rsidR="00652F9A" w:rsidRDefault="00652F9A" w:rsidP="00652F9A">
      <w:pPr>
        <w:pStyle w:val="BodyCopy"/>
        <w:tabs>
          <w:tab w:val="clear" w:pos="220"/>
          <w:tab w:val="clear" w:pos="440"/>
          <w:tab w:val="clear" w:pos="640"/>
          <w:tab w:val="clear" w:pos="840"/>
          <w:tab w:val="left" w:pos="280"/>
          <w:tab w:val="left" w:pos="4260"/>
        </w:tabs>
        <w:rPr>
          <w:rFonts w:ascii="ArialNarrowMTStd" w:hAnsi="ArialNarrowMTStd" w:cs="ArialNarrowMTStd"/>
        </w:rPr>
      </w:pPr>
      <w:r>
        <w:rPr>
          <w:rFonts w:ascii="ArialNarrowMTStd" w:hAnsi="ArialNarrowMTStd" w:cs="ArialNarrowMTStd"/>
        </w:rPr>
        <w:tab/>
        <w:t>Alkaline Phosphatase Reagent (10 x 4.5 mg)</w:t>
      </w:r>
    </w:p>
    <w:p w14:paraId="69B994C1" w14:textId="77777777" w:rsidR="00652F9A" w:rsidRDefault="00652F9A" w:rsidP="00652F9A">
      <w:pPr>
        <w:pStyle w:val="BodyCopy"/>
        <w:tabs>
          <w:tab w:val="clear" w:pos="220"/>
          <w:tab w:val="clear" w:pos="440"/>
          <w:tab w:val="clear" w:pos="640"/>
          <w:tab w:val="clear" w:pos="840"/>
          <w:tab w:val="left" w:pos="280"/>
          <w:tab w:val="left" w:pos="4260"/>
        </w:tabs>
        <w:rPr>
          <w:rFonts w:ascii="ArialNarrowMTStd" w:hAnsi="ArialNarrowMTStd" w:cs="ArialNarrowMTStd"/>
        </w:rPr>
      </w:pPr>
      <w:r>
        <w:rPr>
          <w:rFonts w:ascii="ArialNarrowMTStd" w:hAnsi="ArialNarrowMTStd" w:cs="ArialNarrowMTStd"/>
        </w:rPr>
        <w:tab/>
        <w:t>Alkaline Phosphatase Diluent (35 mL)</w:t>
      </w:r>
    </w:p>
    <w:p w14:paraId="0F8C9891" w14:textId="77777777" w:rsidR="00652F9A" w:rsidRDefault="00652F9A" w:rsidP="00652F9A">
      <w:pPr>
        <w:pStyle w:val="BodyCopy"/>
        <w:tabs>
          <w:tab w:val="clear" w:pos="220"/>
          <w:tab w:val="clear" w:pos="440"/>
          <w:tab w:val="clear" w:pos="640"/>
          <w:tab w:val="clear" w:pos="840"/>
          <w:tab w:val="left" w:pos="280"/>
          <w:tab w:val="left" w:pos="4260"/>
        </w:tabs>
        <w:rPr>
          <w:rFonts w:ascii="ArialNarrowMTStd" w:hAnsi="ArialNarrowMTStd" w:cs="ArialNarrowMTStd"/>
        </w:rPr>
      </w:pPr>
      <w:r>
        <w:rPr>
          <w:rFonts w:ascii="ArialNarrowMTStd" w:hAnsi="ArialNarrowMTStd" w:cs="ArialNarrowMTStd"/>
        </w:rPr>
        <w:tab/>
        <w:t>SPIFE Blotter C (10)</w:t>
      </w:r>
    </w:p>
    <w:p w14:paraId="1FC5AE19" w14:textId="77777777" w:rsidR="00652F9A" w:rsidRDefault="00652F9A" w:rsidP="00652F9A">
      <w:pPr>
        <w:pStyle w:val="BodyCopy"/>
        <w:tabs>
          <w:tab w:val="clear" w:pos="220"/>
          <w:tab w:val="clear" w:pos="440"/>
          <w:tab w:val="clear" w:pos="640"/>
          <w:tab w:val="clear" w:pos="840"/>
          <w:tab w:val="left" w:pos="280"/>
          <w:tab w:val="left" w:pos="4260"/>
        </w:tabs>
        <w:rPr>
          <w:rFonts w:ascii="ArialNarrowMTStd" w:hAnsi="ArialNarrowMTStd" w:cs="ArialNarrowMTStd"/>
        </w:rPr>
      </w:pPr>
      <w:r>
        <w:rPr>
          <w:rFonts w:ascii="ArialNarrowMTStd" w:hAnsi="ArialNarrowMTStd" w:cs="ArialNarrowMTStd"/>
        </w:rPr>
        <w:tab/>
        <w:t xml:space="preserve">Citric Acid </w:t>
      </w:r>
      <w:proofErr w:type="spellStart"/>
      <w:r>
        <w:rPr>
          <w:rFonts w:ascii="ArialNarrowMTStd" w:hAnsi="ArialNarrowMTStd" w:cs="ArialNarrowMTStd"/>
        </w:rPr>
        <w:t>Destain</w:t>
      </w:r>
      <w:proofErr w:type="spellEnd"/>
      <w:r>
        <w:rPr>
          <w:rFonts w:ascii="ArialNarrowMTStd" w:hAnsi="ArialNarrowMTStd" w:cs="ArialNarrowMTStd"/>
        </w:rPr>
        <w:t xml:space="preserve"> (1 </w:t>
      </w:r>
      <w:proofErr w:type="spellStart"/>
      <w:r>
        <w:rPr>
          <w:rFonts w:ascii="ArialNarrowMTStd" w:hAnsi="ArialNarrowMTStd" w:cs="ArialNarrowMTStd"/>
        </w:rPr>
        <w:t>pkg</w:t>
      </w:r>
      <w:proofErr w:type="spellEnd"/>
      <w:r>
        <w:rPr>
          <w:rFonts w:ascii="ArialNarrowMTStd" w:hAnsi="ArialNarrowMTStd" w:cs="ArialNarrowMTStd"/>
        </w:rPr>
        <w:t>)</w:t>
      </w:r>
    </w:p>
    <w:p w14:paraId="7DB4AA21" w14:textId="77777777" w:rsidR="00652F9A" w:rsidRDefault="00652F9A" w:rsidP="00652F9A">
      <w:pPr>
        <w:pStyle w:val="BodyCopy"/>
        <w:tabs>
          <w:tab w:val="clear" w:pos="220"/>
          <w:tab w:val="clear" w:pos="440"/>
          <w:tab w:val="clear" w:pos="640"/>
          <w:tab w:val="clear" w:pos="840"/>
          <w:tab w:val="left" w:pos="280"/>
          <w:tab w:val="left" w:pos="4260"/>
        </w:tabs>
        <w:rPr>
          <w:rFonts w:ascii="ArialNarrowMTStd" w:hAnsi="ArialNarrowMTStd" w:cs="ArialNarrowMTStd"/>
        </w:rPr>
      </w:pPr>
      <w:r>
        <w:rPr>
          <w:rFonts w:ascii="ArialNarrowMTStd" w:hAnsi="ArialNarrowMTStd" w:cs="ArialNarrowMTStd"/>
        </w:rPr>
        <w:tab/>
        <w:t>Blade Applicator Kit - 20 sample</w:t>
      </w:r>
    </w:p>
    <w:p w14:paraId="16EFA4E8" w14:textId="77777777" w:rsidR="00652F9A" w:rsidRDefault="00652F9A" w:rsidP="00652F9A">
      <w:pPr>
        <w:pStyle w:val="Bodycopybold"/>
        <w:rPr>
          <w:rFonts w:ascii="ArialNarrowMTStd-Bold" w:hAnsi="ArialNarrowMTStd-Bold" w:cs="ArialNarrowMTStd-Bold"/>
        </w:rPr>
      </w:pPr>
      <w:r>
        <w:rPr>
          <w:rFonts w:ascii="ArialNarrowMTStd-Bold" w:hAnsi="ArialNarrowMTStd-Bold" w:cs="ArialNarrowMTStd-Bold"/>
        </w:rPr>
        <w:t>Materials required but not contained in the kit:</w:t>
      </w:r>
    </w:p>
    <w:p w14:paraId="029627EF"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Pr>
          <w:rFonts w:ascii="ArialNarrowMTStd-Bold" w:hAnsi="ArialNarrowMTStd-Bold" w:cs="ArialNarrowMTStd-Bold"/>
          <w:b/>
          <w:bCs/>
        </w:rPr>
        <w:tab/>
      </w:r>
      <w:r w:rsidRPr="008E196B">
        <w:rPr>
          <w:rFonts w:ascii="ArialNarrowMTStd-Bold" w:hAnsi="ArialNarrowMTStd-Bold" w:cs="ArialNarrowMTStd-Bold"/>
        </w:rPr>
        <w:t>SPIFE Touch Analyzer</w:t>
      </w:r>
      <w:r w:rsidRPr="008E196B">
        <w:rPr>
          <w:rFonts w:ascii="ArialNarrowMTStd-Bold" w:hAnsi="ArialNarrowMTStd-Bold" w:cs="ArialNarrowMTStd-Bold"/>
        </w:rPr>
        <w:tab/>
        <w:t xml:space="preserve">1068 </w:t>
      </w:r>
    </w:p>
    <w:p w14:paraId="5586B285"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sidRPr="008E196B">
        <w:rPr>
          <w:rFonts w:ascii="ArialNarrowMTStd-Bold" w:hAnsi="ArialNarrowMTStd-Bold" w:cs="ArialNarrowMTStd-Bold"/>
        </w:rPr>
        <w:tab/>
      </w:r>
      <w:proofErr w:type="spellStart"/>
      <w:r w:rsidRPr="008E196B">
        <w:rPr>
          <w:rFonts w:ascii="ArialNarrowMTStd-Bold" w:hAnsi="ArialNarrowMTStd-Bold" w:cs="ArialNarrowMTStd-Bold"/>
        </w:rPr>
        <w:t>QuickScan</w:t>
      </w:r>
      <w:proofErr w:type="spellEnd"/>
      <w:r w:rsidRPr="008E196B">
        <w:rPr>
          <w:rFonts w:ascii="ArialNarrowMTStd-Bold" w:hAnsi="ArialNarrowMTStd-Bold" w:cs="ArialNarrowMTStd-Bold"/>
        </w:rPr>
        <w:t xml:space="preserve"> Touch</w:t>
      </w:r>
      <w:r w:rsidRPr="008E196B">
        <w:rPr>
          <w:rFonts w:ascii="ArialNarrowMTStd-Bold" w:hAnsi="ArialNarrowMTStd-Bold" w:cs="ArialNarrowMTStd-Bold"/>
        </w:rPr>
        <w:tab/>
        <w:t>1690</w:t>
      </w:r>
    </w:p>
    <w:p w14:paraId="2B7B8916"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sidRPr="008E196B">
        <w:rPr>
          <w:rFonts w:ascii="ArialNarrowMTStd-Bold" w:hAnsi="ArialNarrowMTStd-Bold" w:cs="ArialNarrowMTStd-Bold"/>
        </w:rPr>
        <w:tab/>
      </w:r>
      <w:proofErr w:type="spellStart"/>
      <w:r w:rsidRPr="008E196B">
        <w:rPr>
          <w:rFonts w:ascii="ArialNarrowMTStd-Bold" w:hAnsi="ArialNarrowMTStd-Bold" w:cs="ArialNarrowMTStd-Bold"/>
        </w:rPr>
        <w:t>QuickScan</w:t>
      </w:r>
      <w:proofErr w:type="spellEnd"/>
      <w:r w:rsidRPr="008E196B">
        <w:rPr>
          <w:rFonts w:ascii="ArialNarrowMTStd-Bold" w:hAnsi="ArialNarrowMTStd-Bold" w:cs="ArialNarrowMTStd-Bold"/>
        </w:rPr>
        <w:t xml:space="preserve"> 2000 </w:t>
      </w:r>
      <w:r w:rsidRPr="008E196B">
        <w:rPr>
          <w:rFonts w:ascii="ArialNarrowMTStd-Bold" w:hAnsi="ArialNarrowMTStd-Bold" w:cs="ArialNarrowMTStd-Bold"/>
        </w:rPr>
        <w:tab/>
        <w:t>1660</w:t>
      </w:r>
    </w:p>
    <w:p w14:paraId="3D46E9A2"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sidRPr="008E196B">
        <w:rPr>
          <w:rFonts w:ascii="ArialNarrowMTStd-Bold" w:hAnsi="ArialNarrowMTStd-Bold" w:cs="ArialNarrowMTStd-Bold"/>
        </w:rPr>
        <w:tab/>
        <w:t>SPIFE ALP Separation Enhancer (1 x 4 mL)</w:t>
      </w:r>
      <w:r w:rsidRPr="008E196B">
        <w:rPr>
          <w:rFonts w:ascii="ArialNarrowMTStd-Bold" w:hAnsi="ArialNarrowMTStd-Bold" w:cs="ArialNarrowMTStd-Bold"/>
        </w:rPr>
        <w:tab/>
        <w:t>3348</w:t>
      </w:r>
    </w:p>
    <w:p w14:paraId="647DC11E"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sidRPr="008E196B">
        <w:rPr>
          <w:rFonts w:ascii="ArialNarrowMTStd-Bold" w:hAnsi="ArialNarrowMTStd-Bold" w:cs="ArialNarrowMTStd-Bold"/>
        </w:rPr>
        <w:tab/>
        <w:t xml:space="preserve">GEL Alkaline Phosphatase Isoenzyme Control </w:t>
      </w:r>
      <w:r w:rsidRPr="008E196B">
        <w:rPr>
          <w:rFonts w:ascii="ArialNarrowMTStd-Bold" w:hAnsi="ArialNarrowMTStd-Bold" w:cs="ArialNarrowMTStd-Bold"/>
        </w:rPr>
        <w:tab/>
        <w:t xml:space="preserve">5104 </w:t>
      </w:r>
    </w:p>
    <w:p w14:paraId="476690DD"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sidRPr="008E196B">
        <w:rPr>
          <w:rFonts w:ascii="ArialNarrowMTStd-Bold" w:hAnsi="ArialNarrowMTStd-Bold" w:cs="ArialNarrowMTStd-Bold"/>
        </w:rPr>
        <w:tab/>
        <w:t xml:space="preserve">REP Prep </w:t>
      </w:r>
      <w:r w:rsidRPr="008E196B">
        <w:rPr>
          <w:rFonts w:ascii="ArialNarrowMTStd-Bold" w:hAnsi="ArialNarrowMTStd-Bold" w:cs="ArialNarrowMTStd-Bold"/>
        </w:rPr>
        <w:tab/>
        <w:t xml:space="preserve">3100 </w:t>
      </w:r>
    </w:p>
    <w:p w14:paraId="44D03684"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sidRPr="008E196B">
        <w:rPr>
          <w:rFonts w:ascii="ArialNarrowMTStd-Bold" w:hAnsi="ArialNarrowMTStd-Bold" w:cs="ArialNarrowMTStd-Bold"/>
        </w:rPr>
        <w:tab/>
        <w:t xml:space="preserve">Gel Block Remover </w:t>
      </w:r>
      <w:r w:rsidRPr="008E196B">
        <w:rPr>
          <w:rFonts w:ascii="ArialNarrowMTStd-Bold" w:hAnsi="ArialNarrowMTStd-Bold" w:cs="ArialNarrowMTStd-Bold"/>
        </w:rPr>
        <w:tab/>
        <w:t xml:space="preserve">1115 </w:t>
      </w:r>
    </w:p>
    <w:p w14:paraId="02C843B1"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sidRPr="008E196B">
        <w:rPr>
          <w:rFonts w:ascii="ArialNarrowMTStd-Bold" w:hAnsi="ArialNarrowMTStd-Bold" w:cs="ArialNarrowMTStd-Bold"/>
        </w:rPr>
        <w:tab/>
        <w:t>SPIFE Reagent Spreaders</w:t>
      </w:r>
      <w:r w:rsidRPr="008E196B">
        <w:rPr>
          <w:rFonts w:ascii="ArialNarrowMTStd-Bold" w:hAnsi="ArialNarrowMTStd-Bold" w:cs="ArialNarrowMTStd-Bold"/>
        </w:rPr>
        <w:tab/>
        <w:t>3386</w:t>
      </w:r>
    </w:p>
    <w:p w14:paraId="57D999B1"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sidRPr="008E196B">
        <w:rPr>
          <w:rFonts w:ascii="ArialNarrowMTStd-Bold" w:hAnsi="ArialNarrowMTStd-Bold" w:cs="ArialNarrowMTStd-Bold"/>
        </w:rPr>
        <w:tab/>
        <w:t xml:space="preserve">SPIFE Reagent Spreaders </w:t>
      </w:r>
      <w:r w:rsidRPr="008E196B">
        <w:rPr>
          <w:rFonts w:ascii="ArialNarrowMTStd-Bold" w:hAnsi="ArialNarrowMTStd-Bold" w:cs="ArialNarrowMTStd-Bold"/>
        </w:rPr>
        <w:tab/>
        <w:t xml:space="preserve">3706 </w:t>
      </w:r>
    </w:p>
    <w:p w14:paraId="51EA0494"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sidRPr="008E196B">
        <w:rPr>
          <w:rFonts w:ascii="ArialNarrowMTStd-Bold" w:hAnsi="ArialNarrowMTStd-Bold" w:cs="ArialNarrowMTStd-Bold"/>
        </w:rPr>
        <w:tab/>
        <w:t xml:space="preserve">SPIFE </w:t>
      </w:r>
      <w:proofErr w:type="spellStart"/>
      <w:r w:rsidRPr="008E196B">
        <w:rPr>
          <w:rFonts w:ascii="ArialNarrowMTStd-Bold" w:hAnsi="ArialNarrowMTStd-Bold" w:cs="ArialNarrowMTStd-Bold"/>
        </w:rPr>
        <w:t>Dispo</w:t>
      </w:r>
      <w:proofErr w:type="spellEnd"/>
      <w:r w:rsidRPr="008E196B">
        <w:rPr>
          <w:rFonts w:ascii="ArialNarrowMTStd-Bold" w:hAnsi="ArialNarrowMTStd-Bold" w:cs="ArialNarrowMTStd-Bold"/>
        </w:rPr>
        <w:t xml:space="preserve"> Cups (Deep Well) </w:t>
      </w:r>
      <w:r w:rsidRPr="008E196B">
        <w:rPr>
          <w:rFonts w:ascii="ArialNarrowMTStd-Bold" w:hAnsi="ArialNarrowMTStd-Bold" w:cs="ArialNarrowMTStd-Bold"/>
        </w:rPr>
        <w:tab/>
        <w:t xml:space="preserve">3360 </w:t>
      </w:r>
    </w:p>
    <w:p w14:paraId="19BE741D"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sidRPr="008E196B">
        <w:rPr>
          <w:rFonts w:ascii="ArialNarrowMTStd-Bold" w:hAnsi="ArialNarrowMTStd-Bold" w:cs="ArialNarrowMTStd-Bold"/>
        </w:rPr>
        <w:tab/>
        <w:t xml:space="preserve">SPIFE 20-100 </w:t>
      </w:r>
      <w:proofErr w:type="spellStart"/>
      <w:r w:rsidRPr="008E196B">
        <w:rPr>
          <w:rFonts w:ascii="ArialNarrowMTStd-Bold" w:hAnsi="ArialNarrowMTStd-Bold" w:cs="ArialNarrowMTStd-Bold"/>
        </w:rPr>
        <w:t>Dispo</w:t>
      </w:r>
      <w:proofErr w:type="spellEnd"/>
      <w:r w:rsidRPr="008E196B">
        <w:rPr>
          <w:rFonts w:ascii="ArialNarrowMTStd-Bold" w:hAnsi="ArialNarrowMTStd-Bold" w:cs="ArialNarrowMTStd-Bold"/>
        </w:rPr>
        <w:t xml:space="preserve"> Cup Tray </w:t>
      </w:r>
      <w:r w:rsidRPr="008E196B">
        <w:rPr>
          <w:rFonts w:ascii="ArialNarrowMTStd-Bold" w:hAnsi="ArialNarrowMTStd-Bold" w:cs="ArialNarrowMTStd-Bold"/>
        </w:rPr>
        <w:tab/>
        <w:t>3366</w:t>
      </w:r>
    </w:p>
    <w:p w14:paraId="3A7947EA" w14:textId="77777777" w:rsidR="00652F9A" w:rsidRPr="008E196B" w:rsidRDefault="00652F9A" w:rsidP="00652F9A">
      <w:pPr>
        <w:pStyle w:val="BodyCopy"/>
        <w:tabs>
          <w:tab w:val="clear" w:pos="220"/>
          <w:tab w:val="clear" w:pos="440"/>
          <w:tab w:val="clear" w:pos="640"/>
          <w:tab w:val="clear" w:pos="840"/>
          <w:tab w:val="left" w:pos="280"/>
          <w:tab w:val="left" w:pos="4260"/>
        </w:tabs>
        <w:rPr>
          <w:rFonts w:ascii="ArialNarrowMTStd-Bold" w:hAnsi="ArialNarrowMTStd-Bold" w:cs="ArialNarrowMTStd-Bold"/>
        </w:rPr>
      </w:pPr>
      <w:r w:rsidRPr="008E196B">
        <w:rPr>
          <w:rFonts w:ascii="ArialNarrowMTStd-Bold" w:hAnsi="ArialNarrowMTStd-Bold" w:cs="ArialNarrowMTStd-Bold"/>
        </w:rPr>
        <w:tab/>
        <w:t>Chamber Cover</w:t>
      </w:r>
      <w:r w:rsidRPr="008E196B">
        <w:rPr>
          <w:rFonts w:ascii="ArialNarrowMTStd-Bold" w:hAnsi="ArialNarrowMTStd-Bold" w:cs="ArialNarrowMTStd-Bold"/>
        </w:rPr>
        <w:tab/>
        <w:t>8JM05007</w:t>
      </w:r>
    </w:p>
    <w:p w14:paraId="14E153C2" w14:textId="77777777" w:rsidR="008E196B" w:rsidRDefault="008E196B" w:rsidP="00652F9A">
      <w:pPr>
        <w:pStyle w:val="Header"/>
        <w:rPr>
          <w:rFonts w:ascii="ArialNarrowMTStd-Bold" w:hAnsi="ArialNarrowMTStd-Bold" w:cs="ArialNarrowMTStd-Bold"/>
        </w:rPr>
      </w:pPr>
    </w:p>
    <w:p w14:paraId="59C8AB81" w14:textId="77777777" w:rsidR="00652F9A" w:rsidRDefault="00652F9A" w:rsidP="00652F9A">
      <w:pPr>
        <w:pStyle w:val="Header"/>
        <w:rPr>
          <w:rFonts w:ascii="ArialNarrowMTStd-Bold" w:hAnsi="ArialNarrowMTStd-Bold" w:cs="ArialNarrowMTStd-Bold"/>
        </w:rPr>
      </w:pPr>
      <w:r>
        <w:rPr>
          <w:rFonts w:ascii="ArialNarrowMTStd-Bold" w:hAnsi="ArialNarrowMTStd-Bold" w:cs="ArialNarrowMTStd-Bold"/>
        </w:rPr>
        <w:t>STEP-BY-STEP</w:t>
      </w:r>
    </w:p>
    <w:p w14:paraId="0268695B" w14:textId="2356EEAD" w:rsidR="00652F9A" w:rsidRDefault="00652F9A" w:rsidP="00652F9A">
      <w:pPr>
        <w:pStyle w:val="BodyCopy"/>
        <w:rPr>
          <w:rFonts w:ascii="ArialNarrowMTStd" w:hAnsi="ArialNarrowMTStd" w:cs="ArialNarrowMTStd"/>
        </w:rPr>
      </w:pPr>
      <w:r>
        <w:rPr>
          <w:rFonts w:ascii="ArialNarrowMTStd-Bold" w:hAnsi="ArialNarrowMTStd-Bold" w:cs="ArialNarrowMTStd-Bold"/>
          <w:b/>
          <w:bCs/>
          <w:spacing w:val="-4"/>
        </w:rPr>
        <w:t xml:space="preserve">NOTE: </w:t>
      </w:r>
      <w:r>
        <w:rPr>
          <w:rFonts w:ascii="ArialNarrowMTStd" w:hAnsi="ArialNarrowMTStd" w:cs="ArialNarrowMTStd"/>
          <w:spacing w:val="-4"/>
        </w:rPr>
        <w:t xml:space="preserve">If the staining chamber was last used to stain a gel, the SPIFE Touch software has an automatic wash cycle prompted by the initiation of the SPIFE Alkaline Phosphatase test. To verify the status of the </w:t>
      </w:r>
      <w:proofErr w:type="spellStart"/>
      <w:r>
        <w:rPr>
          <w:rFonts w:ascii="ArialNarrowMTStd" w:hAnsi="ArialNarrowMTStd" w:cs="ArialNarrowMTStd"/>
          <w:spacing w:val="-4"/>
        </w:rPr>
        <w:t>stainer</w:t>
      </w:r>
      <w:proofErr w:type="spellEnd"/>
      <w:r>
        <w:rPr>
          <w:rFonts w:ascii="ArialNarrowMTStd" w:hAnsi="ArialNarrowMTStd" w:cs="ArialNarrowMTStd"/>
          <w:spacing w:val="-4"/>
        </w:rPr>
        <w:t xml:space="preserve"> chamber, use the arrows under the </w:t>
      </w:r>
      <w:r>
        <w:rPr>
          <w:rFonts w:ascii="ArialNarrowMTStd-Bold" w:hAnsi="ArialNarrowMTStd-Bold" w:cs="ArialNarrowMTStd-Bold"/>
          <w:b/>
          <w:bCs/>
          <w:spacing w:val="-4"/>
        </w:rPr>
        <w:t>STAINER UNIT</w:t>
      </w:r>
      <w:r>
        <w:rPr>
          <w:rFonts w:ascii="ArialNarrowMTStd" w:hAnsi="ArialNarrowMTStd" w:cs="ArialNarrowMTStd"/>
          <w:spacing w:val="-4"/>
        </w:rPr>
        <w:t xml:space="preserve"> to select the appropriate test, place the empty Gel Holder into the </w:t>
      </w:r>
      <w:proofErr w:type="spellStart"/>
      <w:r>
        <w:rPr>
          <w:rFonts w:ascii="ArialNarrowMTStd" w:hAnsi="ArialNarrowMTStd" w:cs="ArialNarrowMTStd"/>
          <w:spacing w:val="-4"/>
        </w:rPr>
        <w:t>stainer</w:t>
      </w:r>
      <w:proofErr w:type="spellEnd"/>
      <w:r>
        <w:rPr>
          <w:rFonts w:ascii="ArialNarrowMTStd" w:hAnsi="ArialNarrowMTStd" w:cs="ArialNarrowMTStd"/>
          <w:spacing w:val="-4"/>
        </w:rPr>
        <w:t xml:space="preserve"> chamber and press </w:t>
      </w:r>
      <w:r>
        <w:rPr>
          <w:rFonts w:ascii="ArialNarrowMTStd-Bold" w:hAnsi="ArialNarrowMTStd-Bold" w:cs="ArialNarrowMTStd-Bold"/>
          <w:b/>
          <w:bCs/>
          <w:spacing w:val="-4"/>
        </w:rPr>
        <w:t>START</w:t>
      </w:r>
      <w:r>
        <w:rPr>
          <w:rFonts w:ascii="ArialNarrowMTStd" w:hAnsi="ArialNarrowMTStd" w:cs="ArialNarrowMTStd"/>
          <w:spacing w:val="-4"/>
        </w:rPr>
        <w:t xml:space="preserve">. If washing of the staining chamber is necessary, the prompt “Vat must be washed. Remove gel and install gel holder.” will appear. Press </w:t>
      </w:r>
      <w:r>
        <w:rPr>
          <w:rFonts w:ascii="ArialNarrowMTStd-Bold" w:hAnsi="ArialNarrowMTStd-Bold" w:cs="ArialNarrowMTStd-Bold"/>
          <w:b/>
          <w:bCs/>
          <w:spacing w:val="-4"/>
        </w:rPr>
        <w:t>RETRY</w:t>
      </w:r>
      <w:r>
        <w:rPr>
          <w:rFonts w:ascii="ArialNarrowMTStd" w:hAnsi="ArialNarrowMTStd" w:cs="ArialNarrowMTStd"/>
          <w:spacing w:val="-4"/>
        </w:rPr>
        <w:t xml:space="preserve"> to begin the </w:t>
      </w:r>
      <w:proofErr w:type="spellStart"/>
      <w:r>
        <w:rPr>
          <w:rFonts w:ascii="ArialNarrowMTStd" w:hAnsi="ArialNarrowMTStd" w:cs="ArialNarrowMTStd"/>
          <w:spacing w:val="-4"/>
        </w:rPr>
        <w:t>stainer</w:t>
      </w:r>
      <w:proofErr w:type="spellEnd"/>
      <w:r>
        <w:rPr>
          <w:rFonts w:ascii="ArialNarrowMTStd" w:hAnsi="ArialNarrowMTStd" w:cs="ArialNarrowMTStd"/>
          <w:spacing w:val="-4"/>
        </w:rPr>
        <w:t xml:space="preserve"> wash. The cleaning process will complete automatically in about 7 minutes. To avoid delays after incubation, this wash cycle should be initiated at least 7 minutes prior to the end of the run</w:t>
      </w:r>
      <w:r>
        <w:rPr>
          <w:rFonts w:ascii="ArialNarrowMTStd" w:hAnsi="ArialNarrowMTStd" w:cs="ArialNarrowMTStd"/>
        </w:rPr>
        <w:t>.</w:t>
      </w:r>
    </w:p>
    <w:p w14:paraId="7A9E7457" w14:textId="77777777"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I.</w:t>
      </w:r>
      <w:r>
        <w:rPr>
          <w:rFonts w:ascii="ArialNarrowMTStd" w:hAnsi="ArialNarrowMTStd" w:cs="ArialNarrowMTStd"/>
          <w:b w:val="0"/>
          <w:bCs w:val="0"/>
        </w:rPr>
        <w:tab/>
        <w:t>Reagent Preparation</w:t>
      </w:r>
    </w:p>
    <w:p w14:paraId="2BE214DC" w14:textId="38643FF0" w:rsidR="00652F9A" w:rsidRDefault="008E196B" w:rsidP="00652F9A">
      <w:pPr>
        <w:pStyle w:val="BodyCopy"/>
        <w:rPr>
          <w:rFonts w:ascii="ArialNarrowMTStd" w:hAnsi="ArialNarrowMTStd" w:cs="ArialNarrowMTStd"/>
        </w:rPr>
      </w:pPr>
      <w:r>
        <w:rPr>
          <w:rFonts w:ascii="ArialNarrowMTStd" w:hAnsi="ArialNarrowMTStd" w:cs="ArialNarrowMTStd"/>
        </w:rPr>
        <w:tab/>
      </w:r>
      <w:r w:rsidR="00652F9A">
        <w:rPr>
          <w:rFonts w:ascii="ArialNarrowMTStd" w:hAnsi="ArialNarrowMTStd" w:cs="ArialNarrowMTStd"/>
        </w:rPr>
        <w:t>Reconstitute one vial of Alkaline Phosphatase Reagent with 3 mL of Alkaline Phosphatase Diluent and vortex well.</w:t>
      </w:r>
    </w:p>
    <w:p w14:paraId="1B471204" w14:textId="77777777"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II.</w:t>
      </w:r>
      <w:r>
        <w:rPr>
          <w:rFonts w:ascii="ArialNarrowMTStd" w:hAnsi="ArialNarrowMTStd" w:cs="ArialNarrowMTStd"/>
          <w:b w:val="0"/>
          <w:bCs w:val="0"/>
        </w:rPr>
        <w:tab/>
        <w:t>Sample Pretreatment</w:t>
      </w:r>
    </w:p>
    <w:p w14:paraId="108AF1FB" w14:textId="04954764" w:rsidR="00652F9A" w:rsidRDefault="008E196B" w:rsidP="00652F9A">
      <w:pPr>
        <w:pStyle w:val="BodyCopy"/>
        <w:rPr>
          <w:rFonts w:ascii="ArialNarrowMTStd" w:hAnsi="ArialNarrowMTStd" w:cs="ArialNarrowMTStd"/>
        </w:rPr>
      </w:pPr>
      <w:r>
        <w:rPr>
          <w:rFonts w:ascii="ArialNarrowMTStd" w:hAnsi="ArialNarrowMTStd" w:cs="ArialNarrowMTStd"/>
        </w:rPr>
        <w:tab/>
        <w:t>1.</w:t>
      </w:r>
      <w:r>
        <w:rPr>
          <w:rFonts w:ascii="ArialNarrowMTStd" w:hAnsi="ArialNarrowMTStd" w:cs="ArialNarrowMTStd"/>
        </w:rPr>
        <w:tab/>
      </w:r>
      <w:r w:rsidR="00652F9A">
        <w:rPr>
          <w:rFonts w:ascii="ArialNarrowMTStd" w:hAnsi="ArialNarrowMTStd" w:cs="ArialNarrowMTStd"/>
        </w:rPr>
        <w:t xml:space="preserve">Prepare each sample and control by mixing 10 µL of </w:t>
      </w:r>
      <w:r w:rsidR="00652F9A">
        <w:rPr>
          <w:rFonts w:ascii="ArialNarrowMTStd" w:hAnsi="ArialNarrowMTStd" w:cs="ArialNarrowMTStd"/>
          <w:spacing w:val="1"/>
        </w:rPr>
        <w:t>Separation</w:t>
      </w:r>
      <w:r w:rsidR="00652F9A">
        <w:rPr>
          <w:rFonts w:ascii="ArialNarrowMTStd" w:hAnsi="ArialNarrowMTStd" w:cs="ArialNarrowMTStd"/>
        </w:rPr>
        <w:t xml:space="preserve"> Enhancer with 50 µL of sample in a small test tube. Since enzymes degrade rapidly, use within 10 minutes.</w:t>
      </w:r>
    </w:p>
    <w:p w14:paraId="3D71EB72" w14:textId="77777777"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III.</w:t>
      </w:r>
      <w:r>
        <w:rPr>
          <w:rFonts w:ascii="ArialNarrowMTStd" w:hAnsi="ArialNarrowMTStd" w:cs="ArialNarrowMTStd"/>
          <w:b w:val="0"/>
          <w:bCs w:val="0"/>
        </w:rPr>
        <w:tab/>
        <w:t>Sample Preparation</w:t>
      </w:r>
    </w:p>
    <w:p w14:paraId="56625645" w14:textId="6DE085E4" w:rsidR="00652F9A" w:rsidRDefault="00652F9A" w:rsidP="00652F9A">
      <w:pPr>
        <w:pStyle w:val="BodyCopy"/>
        <w:rPr>
          <w:rFonts w:ascii="ArialNarrowMTStd" w:hAnsi="ArialNarrowMTStd" w:cs="ArialNarrowMTStd"/>
          <w:spacing w:val="-2"/>
        </w:rPr>
      </w:pPr>
      <w:r>
        <w:rPr>
          <w:rFonts w:ascii="ArialNarrowMTStd" w:hAnsi="ArialNarrowMTStd" w:cs="ArialNarrowMTStd"/>
        </w:rPr>
        <w:tab/>
        <w:t>1.</w:t>
      </w:r>
      <w:r>
        <w:rPr>
          <w:rFonts w:ascii="ArialNarrowMTStd" w:hAnsi="ArialNarrowMTStd" w:cs="ArialNarrowMTStd"/>
        </w:rPr>
        <w:tab/>
      </w:r>
      <w:r>
        <w:rPr>
          <w:rFonts w:ascii="ArialNarrowMTStd" w:hAnsi="ArialNarrowMTStd" w:cs="ArialNarrowMTStd"/>
          <w:spacing w:val="-2"/>
        </w:rPr>
        <w:t xml:space="preserve">If testing 21 to 40 samples, remove two Disposable Applicator Blades from the packaging. If testing fewer samples, remove only one Applicator Blade from the packaging. </w:t>
      </w:r>
    </w:p>
    <w:p w14:paraId="15947773" w14:textId="3C264696" w:rsidR="00652F9A" w:rsidRDefault="008E196B" w:rsidP="00652F9A">
      <w:pPr>
        <w:pStyle w:val="BodyCopy"/>
        <w:rPr>
          <w:rFonts w:ascii="ArialNarrowMTStd" w:hAnsi="ArialNarrowMTStd" w:cs="ArialNarrowMTStd"/>
          <w:spacing w:val="-2"/>
        </w:rPr>
      </w:pPr>
      <w:r>
        <w:rPr>
          <w:rFonts w:ascii="ArialNarrowMTStd" w:hAnsi="ArialNarrowMTStd" w:cs="ArialNarrowMTStd"/>
          <w:spacing w:val="-2"/>
        </w:rPr>
        <w:tab/>
        <w:t>2.</w:t>
      </w:r>
      <w:r>
        <w:rPr>
          <w:rFonts w:ascii="ArialNarrowMTStd" w:hAnsi="ArialNarrowMTStd" w:cs="ArialNarrowMTStd"/>
          <w:spacing w:val="-2"/>
        </w:rPr>
        <w:tab/>
      </w:r>
      <w:r w:rsidR="00652F9A">
        <w:rPr>
          <w:rFonts w:ascii="ArialNarrowMTStd" w:hAnsi="ArialNarrowMTStd" w:cs="ArialNarrowMTStd"/>
          <w:spacing w:val="-2"/>
        </w:rPr>
        <w:t>Place the two Applicator Blades into the vertical slots in the Applicator Assembly identified as 2 and 9. If using one Applicator Blade, place it into either slot 2 or 9.</w:t>
      </w:r>
    </w:p>
    <w:p w14:paraId="7BB73D35" w14:textId="77777777" w:rsidR="00652F9A" w:rsidRDefault="00652F9A" w:rsidP="00652F9A">
      <w:pPr>
        <w:pStyle w:val="Bodycopybold"/>
        <w:rPr>
          <w:rFonts w:ascii="ArialNarrowMTStd-Bold" w:hAnsi="ArialNarrowMTStd-Bold" w:cs="ArialNarrowMTStd-Bold"/>
        </w:rPr>
      </w:pPr>
      <w:r>
        <w:rPr>
          <w:rFonts w:ascii="ArialNarrowMTStd-Bold" w:hAnsi="ArialNarrowMTStd-Bold" w:cs="ArialNarrowMTStd-Bold"/>
        </w:rPr>
        <w:tab/>
      </w:r>
      <w:r>
        <w:rPr>
          <w:rFonts w:ascii="ArialNarrowMTStd-Bold" w:hAnsi="ArialNarrowMTStd-Bold" w:cs="ArialNarrowMTStd-Bold"/>
        </w:rPr>
        <w:tab/>
      </w:r>
      <w:r>
        <w:rPr>
          <w:rFonts w:ascii="ArialNarrowMTStd-Bold" w:hAnsi="ArialNarrowMTStd-Bold" w:cs="ArialNarrowMTStd-Bold"/>
        </w:rPr>
        <w:br/>
      </w:r>
      <w:r>
        <w:rPr>
          <w:rFonts w:ascii="ArialNarrowMTStd-Bold" w:hAnsi="ArialNarrowMTStd-Bold" w:cs="ArialNarrowMTStd-Bold"/>
          <w:caps/>
        </w:rPr>
        <w:t>note:</w:t>
      </w:r>
      <w:r>
        <w:rPr>
          <w:rFonts w:ascii="ArialNarrowMTStd-Bold" w:hAnsi="ArialNarrowMTStd-Bold" w:cs="ArialNarrowMTStd-Bold"/>
        </w:rPr>
        <w:t xml:space="preserve"> The Applicator Blade assembly will only fit into the slots one way; do not try to force the blade into the slots.</w:t>
      </w:r>
    </w:p>
    <w:p w14:paraId="3FB41091" w14:textId="684AC945" w:rsidR="00652F9A" w:rsidRDefault="008E196B" w:rsidP="00652F9A">
      <w:pPr>
        <w:pStyle w:val="BodyCopy"/>
        <w:rPr>
          <w:rFonts w:ascii="ArialNarrowMTStd-Bold" w:hAnsi="ArialNarrowMTStd-Bold" w:cs="ArialNarrowMTStd-Bold"/>
          <w:b/>
          <w:bCs/>
        </w:rPr>
      </w:pPr>
      <w:r>
        <w:rPr>
          <w:rFonts w:ascii="ArialNarrowMTStd-Bold" w:hAnsi="ArialNarrowMTStd-Bold" w:cs="ArialNarrowMTStd-Bold"/>
          <w:b/>
          <w:bCs/>
        </w:rPr>
        <w:tab/>
        <w:t>3.</w:t>
      </w:r>
      <w:r>
        <w:rPr>
          <w:rFonts w:ascii="ArialNarrowMTStd-Bold" w:hAnsi="ArialNarrowMTStd-Bold" w:cs="ArialNarrowMTStd-Bold"/>
          <w:b/>
          <w:bCs/>
        </w:rPr>
        <w:tab/>
      </w:r>
      <w:r w:rsidR="00652F9A">
        <w:rPr>
          <w:rFonts w:ascii="ArialNarrowMTStd-Bold" w:hAnsi="ArialNarrowMTStd-Bold" w:cs="ArialNarrowMTStd-Bold"/>
          <w:b/>
          <w:bCs/>
        </w:rPr>
        <w:t>Place an Applicator Blade Weight on top of each Applicator Blade. When placing the weight on the blades, position the weight with the thick side to the right.</w:t>
      </w:r>
    </w:p>
    <w:p w14:paraId="79EC5D52" w14:textId="74CD2BF5" w:rsidR="00652F9A" w:rsidRDefault="008E196B" w:rsidP="00652F9A">
      <w:pPr>
        <w:pStyle w:val="BodyCopy"/>
        <w:rPr>
          <w:rFonts w:ascii="ArialNarrowMTStd-Bold" w:hAnsi="ArialNarrowMTStd-Bold" w:cs="ArialNarrowMTStd-Bold"/>
          <w:b/>
          <w:bCs/>
        </w:rPr>
      </w:pPr>
      <w:r>
        <w:rPr>
          <w:rFonts w:ascii="ArialNarrowMTStd-Bold" w:hAnsi="ArialNarrowMTStd-Bold" w:cs="ArialNarrowMTStd-Bold"/>
          <w:b/>
          <w:bCs/>
        </w:rPr>
        <w:tab/>
        <w:t>4.</w:t>
      </w:r>
      <w:r>
        <w:rPr>
          <w:rFonts w:ascii="ArialNarrowMTStd-Bold" w:hAnsi="ArialNarrowMTStd-Bold" w:cs="ArialNarrowMTStd-Bold"/>
          <w:b/>
          <w:bCs/>
        </w:rPr>
        <w:tab/>
      </w:r>
      <w:r w:rsidR="00652F9A">
        <w:rPr>
          <w:rFonts w:ascii="ArialNarrowMTStd-Bold" w:hAnsi="ArialNarrowMTStd-Bold" w:cs="ArialNarrowMTStd-Bold"/>
          <w:b/>
          <w:bCs/>
        </w:rPr>
        <w:t xml:space="preserve">Slide two Disposable Cup strips into rows 1 and 3 of the Cup Tray. </w:t>
      </w:r>
    </w:p>
    <w:p w14:paraId="7BC4FA09" w14:textId="1F522A85" w:rsidR="00652F9A" w:rsidRDefault="008E196B" w:rsidP="00652F9A">
      <w:pPr>
        <w:pStyle w:val="Bodycopybold"/>
        <w:rPr>
          <w:rFonts w:ascii="ArialNarrowMTStd-Bold" w:hAnsi="ArialNarrowMTStd-Bold" w:cs="ArialNarrowMTStd-Bold"/>
        </w:rPr>
      </w:pPr>
      <w:r>
        <w:rPr>
          <w:rFonts w:ascii="ArialNarrowMTStd-Bold" w:hAnsi="ArialNarrowMTStd-Bold" w:cs="ArialNarrowMTStd-Bold"/>
        </w:rPr>
        <w:tab/>
      </w:r>
      <w:r>
        <w:rPr>
          <w:rFonts w:ascii="ArialNarrowMTStd-Bold" w:hAnsi="ArialNarrowMTStd-Bold" w:cs="ArialNarrowMTStd-Bold"/>
        </w:rPr>
        <w:tab/>
      </w:r>
      <w:r w:rsidR="00652F9A">
        <w:rPr>
          <w:rFonts w:ascii="ArialNarrowMTStd-Bold" w:hAnsi="ArialNarrowMTStd-Bold" w:cs="ArialNarrowMTStd-Bold"/>
        </w:rPr>
        <w:t>NOTE: The sample will not migrate properly if samples are placed in rows 2, 4, or 5.</w:t>
      </w:r>
    </w:p>
    <w:p w14:paraId="4EB93729" w14:textId="6590277C" w:rsidR="00652F9A" w:rsidRDefault="008E196B" w:rsidP="00652F9A">
      <w:pPr>
        <w:pStyle w:val="BodyCopy"/>
        <w:rPr>
          <w:rFonts w:ascii="ArialNarrowMTStd-Bold" w:hAnsi="ArialNarrowMTStd-Bold" w:cs="ArialNarrowMTStd-Bold"/>
          <w:b/>
          <w:bCs/>
        </w:rPr>
      </w:pPr>
      <w:r>
        <w:rPr>
          <w:rFonts w:ascii="ArialNarrowMTStd-Bold" w:hAnsi="ArialNarrowMTStd-Bold" w:cs="ArialNarrowMTStd-Bold"/>
          <w:b/>
          <w:bCs/>
        </w:rPr>
        <w:tab/>
        <w:t>5.</w:t>
      </w:r>
      <w:r>
        <w:rPr>
          <w:rFonts w:ascii="ArialNarrowMTStd-Bold" w:hAnsi="ArialNarrowMTStd-Bold" w:cs="ArialNarrowMTStd-Bold"/>
          <w:b/>
          <w:bCs/>
        </w:rPr>
        <w:tab/>
      </w:r>
      <w:r w:rsidR="00652F9A">
        <w:rPr>
          <w:rFonts w:ascii="ArialNarrowMTStd-Bold" w:hAnsi="ArialNarrowMTStd-Bold" w:cs="ArialNarrowMTStd-Bold"/>
          <w:b/>
          <w:bCs/>
        </w:rPr>
        <w:t>Pipette 55 µL of pretreated patient serum or control into each cup. If testing less than 21 samples, pipette samples into the row of wells that corresponds with the Applicator Blade placement. Cover the tray until ready to use.</w:t>
      </w:r>
    </w:p>
    <w:p w14:paraId="3285FE88" w14:textId="77777777" w:rsidR="00652F9A" w:rsidRDefault="00652F9A" w:rsidP="00652F9A">
      <w:pPr>
        <w:pStyle w:val="Bodycopybold"/>
        <w:rPr>
          <w:rFonts w:ascii="ArialNarrowMTStd-Bold" w:hAnsi="ArialNarrowMTStd-Bold" w:cs="ArialNarrowMTStd-Bold"/>
        </w:rPr>
      </w:pPr>
    </w:p>
    <w:p w14:paraId="59826AB1" w14:textId="77777777" w:rsidR="00652F9A" w:rsidRDefault="00652F9A" w:rsidP="00652F9A">
      <w:pPr>
        <w:pStyle w:val="Bodycopybold"/>
        <w:rPr>
          <w:rFonts w:ascii="ArialNarrowMTStd-Bold" w:hAnsi="ArialNarrowMTStd-Bold" w:cs="ArialNarrowMTStd-Bold"/>
        </w:rPr>
      </w:pPr>
    </w:p>
    <w:p w14:paraId="7B43E67B" w14:textId="77777777" w:rsidR="00652F9A" w:rsidRDefault="00652F9A" w:rsidP="00652F9A">
      <w:pPr>
        <w:pStyle w:val="Bodycopybold"/>
        <w:rPr>
          <w:rFonts w:ascii="ArialNarrowMTStd-Bold" w:hAnsi="ArialNarrowMTStd-Bold" w:cs="ArialNarrowMTStd-Bold"/>
        </w:rPr>
      </w:pPr>
      <w:r>
        <w:rPr>
          <w:rFonts w:ascii="ArialNarrowMTStd-Bold" w:hAnsi="ArialNarrowMTStd-Bold" w:cs="ArialNarrowMTStd-Bold"/>
        </w:rPr>
        <w:t>IV.</w:t>
      </w:r>
      <w:r>
        <w:rPr>
          <w:rFonts w:ascii="ArialNarrowMTStd-Bold" w:hAnsi="ArialNarrowMTStd-Bold" w:cs="ArialNarrowMTStd-Bold"/>
        </w:rPr>
        <w:tab/>
        <w:t>Gel Preparation</w:t>
      </w:r>
    </w:p>
    <w:p w14:paraId="76EE093F" w14:textId="65519AD7" w:rsidR="00652F9A" w:rsidRDefault="008E196B" w:rsidP="00652F9A">
      <w:pPr>
        <w:pStyle w:val="BodyCopy"/>
        <w:rPr>
          <w:rFonts w:ascii="ArialNarrowMTStd-Bold" w:hAnsi="ArialNarrowMTStd-Bold" w:cs="ArialNarrowMTStd-Bold"/>
          <w:b/>
          <w:bCs/>
        </w:rPr>
      </w:pPr>
      <w:r>
        <w:rPr>
          <w:rFonts w:ascii="ArialNarrowMTStd-Bold" w:hAnsi="ArialNarrowMTStd-Bold" w:cs="ArialNarrowMTStd-Bold"/>
          <w:b/>
          <w:bCs/>
        </w:rPr>
        <w:tab/>
        <w:t>1.</w:t>
      </w:r>
      <w:r>
        <w:rPr>
          <w:rFonts w:ascii="ArialNarrowMTStd-Bold" w:hAnsi="ArialNarrowMTStd-Bold" w:cs="ArialNarrowMTStd-Bold"/>
          <w:b/>
          <w:bCs/>
        </w:rPr>
        <w:tab/>
      </w:r>
      <w:r w:rsidR="00652F9A">
        <w:rPr>
          <w:rFonts w:ascii="ArialNarrowMTStd-Bold" w:hAnsi="ArialNarrowMTStd-Bold" w:cs="ArialNarrowMTStd-Bold"/>
          <w:b/>
          <w:bCs/>
        </w:rPr>
        <w:t xml:space="preserve">Remove the gel from the protective packaging and discard overlay. </w:t>
      </w:r>
    </w:p>
    <w:p w14:paraId="24E5ACCD" w14:textId="5F750E95" w:rsidR="00652F9A" w:rsidRDefault="008E196B" w:rsidP="00652F9A">
      <w:pPr>
        <w:pStyle w:val="BodyCopy"/>
        <w:rPr>
          <w:rFonts w:ascii="ArialNarrowMTStd" w:hAnsi="ArialNarrowMTStd" w:cs="ArialNarrowMTStd"/>
        </w:rPr>
      </w:pPr>
      <w:r>
        <w:rPr>
          <w:rFonts w:ascii="ArialNarrowMTStd" w:hAnsi="ArialNarrowMTStd" w:cs="ArialNarrowMTStd"/>
        </w:rPr>
        <w:tab/>
        <w:t>2.</w:t>
      </w:r>
      <w:r>
        <w:rPr>
          <w:rFonts w:ascii="ArialNarrowMTStd" w:hAnsi="ArialNarrowMTStd" w:cs="ArialNarrowMTStd"/>
        </w:rPr>
        <w:tab/>
      </w:r>
      <w:r w:rsidR="00652F9A">
        <w:rPr>
          <w:rFonts w:ascii="ArialNarrowMTStd" w:hAnsi="ArialNarrowMTStd" w:cs="ArialNarrowMTStd"/>
        </w:rPr>
        <w:t xml:space="preserve">Place a SPIFE Blotter C on the gel with the longer edge parallel with gel blocks. Gently blot the entire surface of the gel using slight fingertip pressure on the blotter and remove the blotter. </w:t>
      </w:r>
    </w:p>
    <w:p w14:paraId="1A22F224" w14:textId="00470E5F" w:rsidR="00652F9A" w:rsidRDefault="008E196B" w:rsidP="00652F9A">
      <w:pPr>
        <w:pStyle w:val="BodyCopy"/>
        <w:rPr>
          <w:rFonts w:ascii="ArialNarrowMTStd" w:hAnsi="ArialNarrowMTStd" w:cs="ArialNarrowMTStd"/>
        </w:rPr>
      </w:pPr>
      <w:r>
        <w:rPr>
          <w:rFonts w:ascii="ArialNarrowMTStd" w:hAnsi="ArialNarrowMTStd" w:cs="ArialNarrowMTStd"/>
        </w:rPr>
        <w:tab/>
        <w:t>3.</w:t>
      </w:r>
      <w:r>
        <w:rPr>
          <w:rFonts w:ascii="ArialNarrowMTStd" w:hAnsi="ArialNarrowMTStd" w:cs="ArialNarrowMTStd"/>
        </w:rPr>
        <w:tab/>
      </w:r>
      <w:r w:rsidR="00652F9A">
        <w:rPr>
          <w:rFonts w:ascii="ArialNarrowMTStd" w:hAnsi="ArialNarrowMTStd" w:cs="ArialNarrowMTStd"/>
        </w:rPr>
        <w:t>Dispense approximately 2 mL of REP Prep onto the left side of the electrophoresis chamber.</w:t>
      </w:r>
    </w:p>
    <w:p w14:paraId="49B0155C" w14:textId="1483F658" w:rsidR="00652F9A" w:rsidRDefault="008E196B" w:rsidP="00652F9A">
      <w:pPr>
        <w:pStyle w:val="BodyCopy"/>
        <w:rPr>
          <w:rFonts w:ascii="ArialNarrowMTStd" w:hAnsi="ArialNarrowMTStd" w:cs="ArialNarrowMTStd"/>
        </w:rPr>
      </w:pPr>
      <w:r>
        <w:rPr>
          <w:rFonts w:ascii="ArialNarrowMTStd" w:hAnsi="ArialNarrowMTStd" w:cs="ArialNarrowMTStd"/>
        </w:rPr>
        <w:tab/>
        <w:t>4.</w:t>
      </w:r>
      <w:r>
        <w:rPr>
          <w:rFonts w:ascii="ArialNarrowMTStd" w:hAnsi="ArialNarrowMTStd" w:cs="ArialNarrowMTStd"/>
        </w:rPr>
        <w:tab/>
      </w:r>
      <w:r w:rsidR="00652F9A">
        <w:rPr>
          <w:rFonts w:ascii="ArialNarrowMTStd" w:hAnsi="ArialNarrowMTStd" w:cs="ArialNarrowMTStd"/>
        </w:rPr>
        <w:t xml:space="preserve">Place the left edge of the gel over the REP Prep aligning the round hole on the left pin of the chamber. Gently lay the gel down on the REP Prep, starting from the left side and ending on the right side, fitting the </w:t>
      </w:r>
      <w:proofErr w:type="spellStart"/>
      <w:r w:rsidR="00652F9A">
        <w:rPr>
          <w:rFonts w:ascii="ArialNarrowMTStd" w:hAnsi="ArialNarrowMTStd" w:cs="ArialNarrowMTStd"/>
        </w:rPr>
        <w:t>obround</w:t>
      </w:r>
      <w:proofErr w:type="spellEnd"/>
      <w:r w:rsidR="00652F9A">
        <w:rPr>
          <w:rFonts w:ascii="ArialNarrowMTStd" w:hAnsi="ArialNarrowMTStd" w:cs="ArialNarrowMTStd"/>
        </w:rPr>
        <w:t xml:space="preserve"> hole over the right pin. Use lint-free tissue to wipe around the edges of the plastic gel backing, especially next to electrode posts, to remove excess REP Prep. Make sure no bubbles remain under the gel.</w:t>
      </w:r>
    </w:p>
    <w:p w14:paraId="3DCCC61B" w14:textId="0F7FCF97" w:rsidR="008E196B" w:rsidRDefault="008E196B" w:rsidP="00652F9A">
      <w:pPr>
        <w:pStyle w:val="BodyCopy"/>
        <w:rPr>
          <w:rFonts w:ascii="ArialNarrowMTStd" w:hAnsi="ArialNarrowMTStd" w:cs="ArialNarrowMTStd"/>
        </w:rPr>
      </w:pPr>
      <w:r w:rsidRPr="008E196B">
        <w:rPr>
          <w:rFonts w:ascii="ArialNarrowMTStd" w:hAnsi="ArialNarrowMTStd" w:cs="ArialNarrowMTStd"/>
        </w:rPr>
        <w:drawing>
          <wp:inline distT="0" distB="0" distL="0" distR="0" wp14:anchorId="354B9C76" wp14:editId="30BE3515">
            <wp:extent cx="1295400" cy="78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95400" cy="787400"/>
                    </a:xfrm>
                    <a:prstGeom prst="rect">
                      <a:avLst/>
                    </a:prstGeom>
                  </pic:spPr>
                </pic:pic>
              </a:graphicData>
            </a:graphic>
          </wp:inline>
        </w:drawing>
      </w:r>
    </w:p>
    <w:p w14:paraId="033052CD" w14:textId="5CCACB96" w:rsidR="00652F9A" w:rsidRDefault="008E196B" w:rsidP="00652F9A">
      <w:pPr>
        <w:pStyle w:val="BodyCopy"/>
        <w:rPr>
          <w:rFonts w:ascii="ArialNarrowMTStd" w:hAnsi="ArialNarrowMTStd" w:cs="ArialNarrowMTStd"/>
        </w:rPr>
      </w:pPr>
      <w:r>
        <w:rPr>
          <w:rFonts w:ascii="ArialNarrowMTStd" w:hAnsi="ArialNarrowMTStd" w:cs="ArialNarrowMTStd"/>
        </w:rPr>
        <w:tab/>
        <w:t>5.</w:t>
      </w:r>
      <w:r>
        <w:rPr>
          <w:rFonts w:ascii="ArialNarrowMTStd" w:hAnsi="ArialNarrowMTStd" w:cs="ArialNarrowMTStd"/>
        </w:rPr>
        <w:tab/>
      </w:r>
      <w:r w:rsidR="00652F9A">
        <w:rPr>
          <w:rFonts w:ascii="ArialNarrowMTStd" w:hAnsi="ArialNarrowMTStd" w:cs="ArialNarrowMTStd"/>
        </w:rPr>
        <w:t>Thoroughly wash the electrodes with deionized water before and after each use. Wipe the carbon electrodes with a lint-free tissue.</w:t>
      </w:r>
    </w:p>
    <w:p w14:paraId="6FE536EB" w14:textId="3EC16711" w:rsidR="00652F9A" w:rsidRDefault="008E196B" w:rsidP="00652F9A">
      <w:pPr>
        <w:pStyle w:val="BodyCopy"/>
        <w:rPr>
          <w:rFonts w:ascii="ArialNarrowMTStd" w:hAnsi="ArialNarrowMTStd" w:cs="ArialNarrowMTStd"/>
        </w:rPr>
      </w:pPr>
      <w:r>
        <w:rPr>
          <w:rFonts w:ascii="ArialNarrowMTStd" w:hAnsi="ArialNarrowMTStd" w:cs="ArialNarrowMTStd"/>
        </w:rPr>
        <w:tab/>
        <w:t>6.</w:t>
      </w:r>
      <w:r>
        <w:rPr>
          <w:rFonts w:ascii="ArialNarrowMTStd" w:hAnsi="ArialNarrowMTStd" w:cs="ArialNarrowMTStd"/>
        </w:rPr>
        <w:tab/>
      </w:r>
      <w:r w:rsidR="00652F9A">
        <w:rPr>
          <w:rFonts w:ascii="ArialNarrowMTStd" w:hAnsi="ArialNarrowMTStd" w:cs="ArialNarrowMTStd"/>
        </w:rPr>
        <w:t>Place the carbon electrodes on the outside ledge of the gel blocks, outside the magnetic posts. Improper contact between the electrode and the gel block may cause skewed patterns. Close the chamber lid.</w:t>
      </w:r>
    </w:p>
    <w:p w14:paraId="4778DB45" w14:textId="2074DAB7" w:rsidR="00652F9A" w:rsidRDefault="008E196B" w:rsidP="00652F9A">
      <w:pPr>
        <w:pStyle w:val="BodyCopy"/>
        <w:rPr>
          <w:rFonts w:ascii="ArialNarrowMTStd" w:hAnsi="ArialNarrowMTStd" w:cs="ArialNarrowMTStd"/>
        </w:rPr>
      </w:pPr>
      <w:r>
        <w:rPr>
          <w:rFonts w:ascii="ArialNarrowMTStd" w:hAnsi="ArialNarrowMTStd" w:cs="ArialNarrowMTStd"/>
        </w:rPr>
        <w:tab/>
        <w:t>7.</w:t>
      </w:r>
      <w:r>
        <w:rPr>
          <w:rFonts w:ascii="ArialNarrowMTStd" w:hAnsi="ArialNarrowMTStd" w:cs="ArialNarrowMTStd"/>
        </w:rPr>
        <w:tab/>
      </w:r>
      <w:r w:rsidR="00652F9A">
        <w:rPr>
          <w:rFonts w:ascii="ArialNarrowMTStd" w:hAnsi="ArialNarrowMTStd" w:cs="ArialNarrowMTStd"/>
        </w:rPr>
        <w:t xml:space="preserve">Use the arrows under </w:t>
      </w:r>
      <w:r w:rsidR="00652F9A">
        <w:rPr>
          <w:rFonts w:ascii="ArialNarrowMTStd-Bold" w:hAnsi="ArialNarrowMTStd-Bold" w:cs="ArialNarrowMTStd-Bold"/>
          <w:b/>
          <w:bCs/>
        </w:rPr>
        <w:t>SEPARATOR UNIT</w:t>
      </w:r>
      <w:r w:rsidR="00652F9A">
        <w:rPr>
          <w:rFonts w:ascii="ArialNarrowMTStd" w:hAnsi="ArialNarrowMTStd" w:cs="ArialNarrowMTStd"/>
        </w:rPr>
        <w:t xml:space="preserve"> to select the appropriate test. To check parameters, select test and press </w:t>
      </w:r>
      <w:r w:rsidR="00652F9A">
        <w:rPr>
          <w:rFonts w:ascii="ArialNarrowMTStd-Bold" w:hAnsi="ArialNarrowMTStd-Bold" w:cs="ArialNarrowMTStd-Bold"/>
          <w:b/>
          <w:bCs/>
        </w:rPr>
        <w:t>SETUP</w:t>
      </w:r>
      <w:r w:rsidR="00652F9A">
        <w:rPr>
          <w:rFonts w:ascii="ArialNarrowMTStd" w:hAnsi="ArialNarrowMTStd" w:cs="ArialNarrowMTStd"/>
        </w:rPr>
        <w:t xml:space="preserve">. </w:t>
      </w:r>
    </w:p>
    <w:p w14:paraId="0280C741" w14:textId="77777777"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V.</w:t>
      </w:r>
      <w:r>
        <w:rPr>
          <w:rFonts w:ascii="ArialNarrowMTStd" w:hAnsi="ArialNarrowMTStd" w:cs="ArialNarrowMTStd"/>
          <w:b w:val="0"/>
          <w:bCs w:val="0"/>
        </w:rPr>
        <w:tab/>
        <w:t>Sample Application/Electrophoresis</w:t>
      </w:r>
    </w:p>
    <w:p w14:paraId="2168AC48" w14:textId="5706E003" w:rsidR="00652F9A" w:rsidRDefault="008E196B" w:rsidP="00652F9A">
      <w:pPr>
        <w:pStyle w:val="BodyCopy"/>
        <w:rPr>
          <w:rFonts w:ascii="ArialNarrowMTStd" w:hAnsi="ArialNarrowMTStd" w:cs="ArialNarrowMTStd"/>
        </w:rPr>
      </w:pPr>
      <w:r>
        <w:rPr>
          <w:rFonts w:ascii="ArialNarrowMTStd" w:hAnsi="ArialNarrowMTStd" w:cs="ArialNarrowMTStd"/>
        </w:rPr>
        <w:tab/>
      </w:r>
      <w:r w:rsidR="00652F9A">
        <w:rPr>
          <w:rFonts w:ascii="ArialNarrowMTStd" w:hAnsi="ArialNarrowMTStd" w:cs="ArialNarrowMTStd"/>
        </w:rPr>
        <w:t>Using the instructions provided in the Operator’s Manual, set up the parameters as follows for the SPIFE Touch:</w:t>
      </w:r>
    </w:p>
    <w:p w14:paraId="47A60B51" w14:textId="3A52AE8C"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Due to variation in environmental conditions,</w:t>
      </w:r>
    </w:p>
    <w:p w14:paraId="480D0601" w14:textId="20EBBAA9"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*an Electrophoresis time of 27:00 minutes is recommended, but a range of 26:00 to 28:00 minutes is acceptable.</w:t>
      </w:r>
    </w:p>
    <w:p w14:paraId="36AC3D90" w14:textId="3AF2381F" w:rsidR="00652F9A" w:rsidRDefault="008E196B" w:rsidP="00652F9A">
      <w:pPr>
        <w:pStyle w:val="Bodycopybold"/>
        <w:rPr>
          <w:rFonts w:ascii="ArialNarrowMTStd" w:hAnsi="ArialNarrowMTStd" w:cs="ArialNarrowMTStd"/>
          <w:b w:val="0"/>
          <w:bCs w:val="0"/>
        </w:rPr>
      </w:pPr>
      <w:r>
        <w:rPr>
          <w:rFonts w:ascii="ArialNarrowMTStd" w:hAnsi="ArialNarrowMTStd" w:cs="ArialNarrowMTStd"/>
          <w:b w:val="0"/>
          <w:bCs w:val="0"/>
        </w:rPr>
        <w:tab/>
      </w:r>
      <w:r w:rsidR="00652F9A">
        <w:rPr>
          <w:rFonts w:ascii="ArialNarrowMTStd" w:hAnsi="ArialNarrowMTStd" w:cs="ArialNarrowMTStd"/>
          <w:b w:val="0"/>
          <w:bCs w:val="0"/>
        </w:rPr>
        <w:t>**a Dry time of 15 minutes is recommended, but a range of 10 to 20 minutes is acceptable.</w:t>
      </w:r>
    </w:p>
    <w:p w14:paraId="795FDEF7" w14:textId="77777777" w:rsidR="008E196B" w:rsidRDefault="008E196B" w:rsidP="00652F9A">
      <w:pPr>
        <w:pStyle w:val="ParametersunderlinedTitles"/>
        <w:rPr>
          <w:rFonts w:ascii="ArialNarrowMTStd" w:hAnsi="ArialNarrowMTStd" w:cs="ArialNarrowMTStd"/>
          <w:b w:val="0"/>
          <w:bCs w:val="0"/>
        </w:rPr>
      </w:pPr>
    </w:p>
    <w:p w14:paraId="08C2980E" w14:textId="77777777" w:rsidR="00652F9A" w:rsidRDefault="00652F9A" w:rsidP="008E196B">
      <w:pPr>
        <w:pStyle w:val="ParametersunderlinedTitles"/>
        <w:jc w:val="left"/>
        <w:rPr>
          <w:rFonts w:ascii="ArialNarrowMTStd" w:hAnsi="ArialNarrowMTStd" w:cs="ArialNarrowMTStd"/>
          <w:b w:val="0"/>
          <w:bCs w:val="0"/>
          <w:u w:val="none"/>
        </w:rPr>
      </w:pPr>
      <w:r>
        <w:rPr>
          <w:rFonts w:ascii="ArialNarrowMTStd" w:hAnsi="ArialNarrowMTStd" w:cs="ArialNarrowMTStd"/>
          <w:b w:val="0"/>
          <w:bCs w:val="0"/>
        </w:rPr>
        <w:t>Separator Unit</w:t>
      </w:r>
    </w:p>
    <w:p w14:paraId="2C50034A"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Load Sample 1</w:t>
      </w:r>
      <w:r>
        <w:rPr>
          <w:rFonts w:ascii="ArialNarrowMTStd" w:hAnsi="ArialNarrowMTStd" w:cs="ArialNarrowMTStd"/>
        </w:rPr>
        <w:tab/>
        <w:t>Prompt: None</w:t>
      </w:r>
    </w:p>
    <w:p w14:paraId="149AFC30"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0:02</w:t>
      </w:r>
    </w:p>
    <w:p w14:paraId="18C969CC"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20°C</w:t>
      </w:r>
    </w:p>
    <w:p w14:paraId="01EC7EF8"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Speed: 6</w:t>
      </w:r>
    </w:p>
    <w:p w14:paraId="68CFAAFC" w14:textId="77777777" w:rsidR="00652F9A" w:rsidRDefault="00652F9A" w:rsidP="00652F9A">
      <w:pPr>
        <w:pStyle w:val="Parameterstabs"/>
        <w:rPr>
          <w:rFonts w:ascii="ArialNarrowMTStd" w:hAnsi="ArialNarrowMTStd" w:cs="ArialNarrowMTStd"/>
        </w:rPr>
      </w:pPr>
    </w:p>
    <w:p w14:paraId="01DF7CEA"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Load Sample 2</w:t>
      </w:r>
      <w:r>
        <w:rPr>
          <w:rFonts w:ascii="ArialNarrowMTStd" w:hAnsi="ArialNarrowMTStd" w:cs="ArialNarrowMTStd"/>
        </w:rPr>
        <w:tab/>
        <w:t>Prompt: None</w:t>
      </w:r>
    </w:p>
    <w:p w14:paraId="75C7CEAF"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0:02</w:t>
      </w:r>
    </w:p>
    <w:p w14:paraId="0D50F9D4"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20°C</w:t>
      </w:r>
    </w:p>
    <w:p w14:paraId="768CF3EF"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Speed: 6</w:t>
      </w:r>
    </w:p>
    <w:p w14:paraId="18770153" w14:textId="77777777" w:rsidR="00652F9A" w:rsidRDefault="00652F9A" w:rsidP="00652F9A">
      <w:pPr>
        <w:pStyle w:val="Parameterstabs"/>
        <w:rPr>
          <w:rFonts w:ascii="ArialNarrowMTStd" w:hAnsi="ArialNarrowMTStd" w:cs="ArialNarrowMTStd"/>
        </w:rPr>
      </w:pPr>
    </w:p>
    <w:p w14:paraId="287A9D67"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Load Sample 3</w:t>
      </w:r>
      <w:r>
        <w:rPr>
          <w:rFonts w:ascii="ArialNarrowMTStd" w:hAnsi="ArialNarrowMTStd" w:cs="ArialNarrowMTStd"/>
        </w:rPr>
        <w:tab/>
        <w:t>Prompt: None</w:t>
      </w:r>
    </w:p>
    <w:p w14:paraId="02F54081"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0:02</w:t>
      </w:r>
    </w:p>
    <w:p w14:paraId="15B83E4D"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20°C</w:t>
      </w:r>
    </w:p>
    <w:p w14:paraId="583AD49C"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Speed: 6</w:t>
      </w:r>
    </w:p>
    <w:p w14:paraId="63FB3DD6" w14:textId="77777777" w:rsidR="00652F9A" w:rsidRDefault="00652F9A" w:rsidP="00652F9A">
      <w:pPr>
        <w:pStyle w:val="Parameterstabs"/>
        <w:rPr>
          <w:rFonts w:ascii="ArialNarrowMTStd" w:hAnsi="ArialNarrowMTStd" w:cs="ArialNarrowMTStd"/>
        </w:rPr>
      </w:pPr>
    </w:p>
    <w:p w14:paraId="38801A6D"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Load Sample 4</w:t>
      </w:r>
      <w:r>
        <w:rPr>
          <w:rFonts w:ascii="ArialNarrowMTStd" w:hAnsi="ArialNarrowMTStd" w:cs="ArialNarrowMTStd"/>
        </w:rPr>
        <w:tab/>
        <w:t>Prompt: None</w:t>
      </w:r>
    </w:p>
    <w:p w14:paraId="25829FB7"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0:30</w:t>
      </w:r>
    </w:p>
    <w:p w14:paraId="1F35FA56"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20°C</w:t>
      </w:r>
    </w:p>
    <w:p w14:paraId="74D17A53"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Speed: 6</w:t>
      </w:r>
    </w:p>
    <w:p w14:paraId="234EAE20" w14:textId="77777777" w:rsidR="00652F9A" w:rsidRDefault="00652F9A" w:rsidP="00652F9A">
      <w:pPr>
        <w:pStyle w:val="Parameterstabs"/>
        <w:rPr>
          <w:rFonts w:ascii="ArialNarrowMTStd" w:hAnsi="ArialNarrowMTStd" w:cs="ArialNarrowMTStd"/>
        </w:rPr>
      </w:pPr>
    </w:p>
    <w:p w14:paraId="1C7AD1BA"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Apply Sample 1</w:t>
      </w:r>
      <w:r>
        <w:rPr>
          <w:rFonts w:ascii="ArialNarrowMTStd" w:hAnsi="ArialNarrowMTStd" w:cs="ArialNarrowMTStd"/>
        </w:rPr>
        <w:tab/>
        <w:t>Prompt: None</w:t>
      </w:r>
    </w:p>
    <w:p w14:paraId="2ECC86B7"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1:00</w:t>
      </w:r>
    </w:p>
    <w:p w14:paraId="7758F285"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20°C</w:t>
      </w:r>
    </w:p>
    <w:p w14:paraId="2A5CC291"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Speed: 6</w:t>
      </w:r>
    </w:p>
    <w:p w14:paraId="43A0FE08"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Location: 1</w:t>
      </w:r>
    </w:p>
    <w:p w14:paraId="123E4C14" w14:textId="77777777" w:rsidR="00652F9A" w:rsidRDefault="00652F9A" w:rsidP="00652F9A">
      <w:pPr>
        <w:pStyle w:val="Parameterstabs"/>
        <w:rPr>
          <w:rFonts w:ascii="ArialNarrowMTStd" w:hAnsi="ArialNarrowMTStd" w:cs="ArialNarrowMTStd"/>
        </w:rPr>
      </w:pPr>
    </w:p>
    <w:p w14:paraId="7AF96691"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Load Sample 5</w:t>
      </w:r>
      <w:r>
        <w:rPr>
          <w:rFonts w:ascii="ArialNarrowMTStd" w:hAnsi="ArialNarrowMTStd" w:cs="ArialNarrowMTStd"/>
        </w:rPr>
        <w:tab/>
        <w:t>Prompt: None</w:t>
      </w:r>
    </w:p>
    <w:p w14:paraId="4CE0B792"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0:30</w:t>
      </w:r>
    </w:p>
    <w:p w14:paraId="63EF2F48"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20°C</w:t>
      </w:r>
    </w:p>
    <w:p w14:paraId="69F5D5CA"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Speed: 6</w:t>
      </w:r>
    </w:p>
    <w:p w14:paraId="17179129" w14:textId="77777777" w:rsidR="00652F9A" w:rsidRDefault="00652F9A" w:rsidP="00652F9A">
      <w:pPr>
        <w:pStyle w:val="Parameterstabs"/>
        <w:rPr>
          <w:rFonts w:ascii="ArialNarrowMTStd" w:hAnsi="ArialNarrowMTStd" w:cs="ArialNarrowMTStd"/>
        </w:rPr>
      </w:pPr>
    </w:p>
    <w:p w14:paraId="7E287F26"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Apply Sample 2</w:t>
      </w:r>
      <w:r>
        <w:rPr>
          <w:rFonts w:ascii="ArialNarrowMTStd" w:hAnsi="ArialNarrowMTStd" w:cs="ArialNarrowMTStd"/>
        </w:rPr>
        <w:tab/>
        <w:t>Prompt: None</w:t>
      </w:r>
    </w:p>
    <w:p w14:paraId="72A2C9EA"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1:00</w:t>
      </w:r>
    </w:p>
    <w:p w14:paraId="6A29129C"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20°C</w:t>
      </w:r>
    </w:p>
    <w:p w14:paraId="44BBED92"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Speed: 6</w:t>
      </w:r>
    </w:p>
    <w:p w14:paraId="7895E063"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Location: 1</w:t>
      </w:r>
    </w:p>
    <w:p w14:paraId="28CE3AD0" w14:textId="77777777" w:rsidR="00652F9A" w:rsidRDefault="00652F9A" w:rsidP="00652F9A">
      <w:pPr>
        <w:pStyle w:val="Parameterstabs"/>
        <w:rPr>
          <w:rFonts w:ascii="ArialNarrowMTStd" w:hAnsi="ArialNarrowMTStd" w:cs="ArialNarrowMTStd"/>
        </w:rPr>
      </w:pPr>
    </w:p>
    <w:p w14:paraId="0AB3195A"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Load Sample 6</w:t>
      </w:r>
      <w:r>
        <w:rPr>
          <w:rFonts w:ascii="ArialNarrowMTStd" w:hAnsi="ArialNarrowMTStd" w:cs="ArialNarrowMTStd"/>
        </w:rPr>
        <w:tab/>
        <w:t>Prompt: None</w:t>
      </w:r>
    </w:p>
    <w:p w14:paraId="13E058BB"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0:30</w:t>
      </w:r>
    </w:p>
    <w:p w14:paraId="20B8B8E8"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20°C</w:t>
      </w:r>
    </w:p>
    <w:p w14:paraId="699A4DE2"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Speed: 6</w:t>
      </w:r>
    </w:p>
    <w:p w14:paraId="5FAABA61" w14:textId="77777777" w:rsidR="00652F9A" w:rsidRDefault="00652F9A" w:rsidP="00652F9A">
      <w:pPr>
        <w:pStyle w:val="Parameterstabs"/>
        <w:rPr>
          <w:rFonts w:ascii="ArialNarrowMTStd" w:hAnsi="ArialNarrowMTStd" w:cs="ArialNarrowMTStd"/>
        </w:rPr>
      </w:pPr>
    </w:p>
    <w:p w14:paraId="33BD0EEE"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Apply Sample 3</w:t>
      </w:r>
      <w:r>
        <w:rPr>
          <w:rFonts w:ascii="ArialNarrowMTStd" w:hAnsi="ArialNarrowMTStd" w:cs="ArialNarrowMTStd"/>
        </w:rPr>
        <w:tab/>
        <w:t>Prompt: None</w:t>
      </w:r>
    </w:p>
    <w:p w14:paraId="76F28551"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1:00</w:t>
      </w:r>
    </w:p>
    <w:p w14:paraId="50F171DB"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20°C</w:t>
      </w:r>
    </w:p>
    <w:p w14:paraId="59A9BB18"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Speed: 6</w:t>
      </w:r>
    </w:p>
    <w:p w14:paraId="5F7B6E12"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Location: 1</w:t>
      </w:r>
    </w:p>
    <w:p w14:paraId="1D3A8707" w14:textId="77777777" w:rsidR="00652F9A" w:rsidRDefault="00652F9A" w:rsidP="00652F9A">
      <w:pPr>
        <w:pStyle w:val="Parameterstabs"/>
        <w:rPr>
          <w:rFonts w:ascii="ArialNarrowMTStd" w:hAnsi="ArialNarrowMTStd" w:cs="ArialNarrowMTStd"/>
        </w:rPr>
      </w:pPr>
    </w:p>
    <w:p w14:paraId="695ACCE4"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Electrophoresis</w:t>
      </w:r>
      <w:r>
        <w:rPr>
          <w:rFonts w:ascii="ArialNarrowMTStd" w:hAnsi="ArialNarrowMTStd" w:cs="ArialNarrowMTStd"/>
        </w:rPr>
        <w:tab/>
        <w:t>Prompt: To Continue</w:t>
      </w:r>
    </w:p>
    <w:p w14:paraId="5B732D41"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27:00*</w:t>
      </w:r>
    </w:p>
    <w:p w14:paraId="6C9BFC10"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12°C</w:t>
      </w:r>
    </w:p>
    <w:p w14:paraId="3721EFC5"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Voltage: 430 V</w:t>
      </w:r>
    </w:p>
    <w:p w14:paraId="2BF81915"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mA: 75 mA</w:t>
      </w:r>
    </w:p>
    <w:p w14:paraId="67E6FD2A" w14:textId="77777777" w:rsidR="00652F9A" w:rsidRDefault="00652F9A" w:rsidP="00652F9A">
      <w:pPr>
        <w:pStyle w:val="Parameterstabs"/>
        <w:rPr>
          <w:rFonts w:ascii="ArialNarrowMTStd" w:hAnsi="ArialNarrowMTStd" w:cs="ArialNarrowMTStd"/>
        </w:rPr>
      </w:pPr>
    </w:p>
    <w:p w14:paraId="238B197D"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Apply Reagent</w:t>
      </w:r>
      <w:r>
        <w:rPr>
          <w:rFonts w:ascii="ArialNarrowMTStd" w:hAnsi="ArialNarrowMTStd" w:cs="ArialNarrowMTStd"/>
        </w:rPr>
        <w:tab/>
        <w:t>Prompt: Remove Gel Blocks</w:t>
      </w:r>
    </w:p>
    <w:p w14:paraId="2A5D9319"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45°C</w:t>
      </w:r>
    </w:p>
    <w:p w14:paraId="62E0F2E2"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Cycles: 10</w:t>
      </w:r>
    </w:p>
    <w:p w14:paraId="6AD2A8E8" w14:textId="77777777" w:rsidR="00652F9A" w:rsidRDefault="00652F9A" w:rsidP="00652F9A">
      <w:pPr>
        <w:pStyle w:val="Parameterstabs"/>
        <w:rPr>
          <w:rFonts w:ascii="ArialNarrowMTStd" w:hAnsi="ArialNarrowMTStd" w:cs="ArialNarrowMTStd"/>
        </w:rPr>
      </w:pPr>
    </w:p>
    <w:p w14:paraId="2EA6C032"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Incubate</w:t>
      </w:r>
      <w:r>
        <w:rPr>
          <w:rFonts w:ascii="ArialNarrowMTStd" w:hAnsi="ArialNarrowMTStd" w:cs="ArialNarrowMTStd"/>
        </w:rPr>
        <w:tab/>
        <w:t>Prompt: None</w:t>
      </w:r>
    </w:p>
    <w:p w14:paraId="4E281801"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28:00</w:t>
      </w:r>
    </w:p>
    <w:p w14:paraId="732DB008"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45°C</w:t>
      </w:r>
    </w:p>
    <w:p w14:paraId="3AC722A9" w14:textId="77777777" w:rsidR="00652F9A" w:rsidRDefault="00652F9A" w:rsidP="00652F9A">
      <w:pPr>
        <w:pStyle w:val="Parameterstabs"/>
        <w:rPr>
          <w:rFonts w:ascii="ArialNarrowMTStd" w:hAnsi="ArialNarrowMTStd" w:cs="ArialNarrowMTStd"/>
        </w:rPr>
      </w:pPr>
    </w:p>
    <w:p w14:paraId="1D2A10E3" w14:textId="77777777" w:rsidR="008E196B" w:rsidRDefault="00652F9A" w:rsidP="008E196B">
      <w:pPr>
        <w:pStyle w:val="Parameterstabs"/>
        <w:rPr>
          <w:rFonts w:ascii="ArialNarrowMTStd-Bold" w:hAnsi="ArialNarrowMTStd-Bold" w:cs="ArialNarrowMTStd-Bold"/>
          <w:b/>
          <w:bCs/>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End</w:t>
      </w:r>
    </w:p>
    <w:p w14:paraId="4DA0006E" w14:textId="77777777" w:rsidR="008E196B" w:rsidRDefault="008E196B" w:rsidP="008E196B">
      <w:pPr>
        <w:pStyle w:val="Parameterstabs"/>
        <w:rPr>
          <w:rFonts w:ascii="ArialNarrowMTStd-Bold" w:hAnsi="ArialNarrowMTStd-Bold" w:cs="ArialNarrowMTStd-Bold"/>
          <w:b/>
          <w:bCs/>
        </w:rPr>
      </w:pPr>
    </w:p>
    <w:p w14:paraId="295B2E63" w14:textId="71D68457" w:rsidR="00652F9A" w:rsidRPr="008E196B" w:rsidRDefault="00652F9A" w:rsidP="008E196B">
      <w:pPr>
        <w:pStyle w:val="Parameterstabs"/>
        <w:rPr>
          <w:rFonts w:ascii="ArialNarrowMTStd" w:hAnsi="ArialNarrowMTStd" w:cs="ArialNarrowMTStd"/>
        </w:rPr>
      </w:pPr>
      <w:proofErr w:type="spellStart"/>
      <w:r>
        <w:rPr>
          <w:rFonts w:ascii="ArialNarrowMTStd" w:hAnsi="ArialNarrowMTStd" w:cs="ArialNarrowMTStd"/>
          <w:b/>
          <w:bCs/>
        </w:rPr>
        <w:t>Stainer</w:t>
      </w:r>
      <w:proofErr w:type="spellEnd"/>
      <w:r>
        <w:rPr>
          <w:rFonts w:ascii="ArialNarrowMTStd" w:hAnsi="ArialNarrowMTStd" w:cs="ArialNarrowMTStd"/>
          <w:b/>
          <w:bCs/>
        </w:rPr>
        <w:t xml:space="preserve"> Unit</w:t>
      </w:r>
    </w:p>
    <w:p w14:paraId="2A0F53D3"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proofErr w:type="spellStart"/>
      <w:r>
        <w:rPr>
          <w:rFonts w:ascii="ArialNarrowMTStd-Bold" w:hAnsi="ArialNarrowMTStd-Bold" w:cs="ArialNarrowMTStd-Bold"/>
          <w:b/>
          <w:bCs/>
        </w:rPr>
        <w:t>Destain</w:t>
      </w:r>
      <w:proofErr w:type="spellEnd"/>
      <w:r>
        <w:rPr>
          <w:rFonts w:ascii="ArialNarrowMTStd-Bold" w:hAnsi="ArialNarrowMTStd-Bold" w:cs="ArialNarrowMTStd-Bold"/>
          <w:b/>
          <w:bCs/>
        </w:rPr>
        <w:t xml:space="preserve"> 1</w:t>
      </w:r>
      <w:r>
        <w:rPr>
          <w:rFonts w:ascii="ArialNarrowMTStd" w:hAnsi="ArialNarrowMTStd" w:cs="ArialNarrowMTStd"/>
        </w:rPr>
        <w:tab/>
        <w:t>Prompt: None</w:t>
      </w:r>
    </w:p>
    <w:p w14:paraId="290F808C"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5:00</w:t>
      </w:r>
    </w:p>
    <w:p w14:paraId="52C34BDB"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Recirculation: On</w:t>
      </w:r>
    </w:p>
    <w:p w14:paraId="2941F7F6"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Valve: 2</w:t>
      </w:r>
    </w:p>
    <w:p w14:paraId="62D26551"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Fill, Drain</w:t>
      </w:r>
    </w:p>
    <w:p w14:paraId="3C85C32C" w14:textId="77777777" w:rsidR="00652F9A" w:rsidRDefault="00652F9A" w:rsidP="00652F9A">
      <w:pPr>
        <w:pStyle w:val="Parameterstabs"/>
        <w:rPr>
          <w:rFonts w:ascii="ArialNarrowMTStd" w:hAnsi="ArialNarrowMTStd" w:cs="ArialNarrowMTStd"/>
        </w:rPr>
      </w:pPr>
    </w:p>
    <w:p w14:paraId="729D344A"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proofErr w:type="spellStart"/>
      <w:r>
        <w:rPr>
          <w:rFonts w:ascii="ArialNarrowMTStd-Bold" w:hAnsi="ArialNarrowMTStd-Bold" w:cs="ArialNarrowMTStd-Bold"/>
          <w:b/>
          <w:bCs/>
        </w:rPr>
        <w:t>Destain</w:t>
      </w:r>
      <w:proofErr w:type="spellEnd"/>
      <w:r>
        <w:rPr>
          <w:rFonts w:ascii="ArialNarrowMTStd-Bold" w:hAnsi="ArialNarrowMTStd-Bold" w:cs="ArialNarrowMTStd-Bold"/>
          <w:b/>
          <w:bCs/>
        </w:rPr>
        <w:t xml:space="preserve"> 2</w:t>
      </w:r>
      <w:r>
        <w:rPr>
          <w:rFonts w:ascii="ArialNarrowMTStd" w:hAnsi="ArialNarrowMTStd" w:cs="ArialNarrowMTStd"/>
        </w:rPr>
        <w:tab/>
        <w:t>Prompt: None</w:t>
      </w:r>
    </w:p>
    <w:p w14:paraId="13EBFBC3"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5:00</w:t>
      </w:r>
    </w:p>
    <w:p w14:paraId="5F262B80"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Recirculation: On</w:t>
      </w:r>
    </w:p>
    <w:p w14:paraId="565FA82A"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Valve: 2</w:t>
      </w:r>
    </w:p>
    <w:p w14:paraId="2EC324DB"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Fill, Drain</w:t>
      </w:r>
    </w:p>
    <w:p w14:paraId="0F69B7FC" w14:textId="77777777" w:rsidR="00652F9A" w:rsidRDefault="00652F9A" w:rsidP="00652F9A">
      <w:pPr>
        <w:pStyle w:val="Parameterstabs"/>
        <w:rPr>
          <w:rFonts w:ascii="ArialNarrowMTStd" w:hAnsi="ArialNarrowMTStd" w:cs="ArialNarrowMTStd"/>
        </w:rPr>
      </w:pPr>
    </w:p>
    <w:p w14:paraId="65C3EA87"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 xml:space="preserve">Wash </w:t>
      </w:r>
      <w:r>
        <w:rPr>
          <w:rFonts w:ascii="ArialNarrowMTStd" w:hAnsi="ArialNarrowMTStd" w:cs="ArialNarrowMTStd"/>
        </w:rPr>
        <w:tab/>
        <w:t>Prompt: None</w:t>
      </w:r>
    </w:p>
    <w:p w14:paraId="28092EC9"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0:30</w:t>
      </w:r>
    </w:p>
    <w:p w14:paraId="0354A486"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Recirculation: On</w:t>
      </w:r>
    </w:p>
    <w:p w14:paraId="61385170"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Valve: 7</w:t>
      </w:r>
    </w:p>
    <w:p w14:paraId="48992EB3"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Fill, Drain</w:t>
      </w:r>
    </w:p>
    <w:p w14:paraId="37A160EB" w14:textId="77777777" w:rsidR="00652F9A" w:rsidRDefault="00652F9A" w:rsidP="00652F9A">
      <w:pPr>
        <w:pStyle w:val="Parameterstabs"/>
        <w:rPr>
          <w:rFonts w:ascii="ArialNarrowMTStd" w:hAnsi="ArialNarrowMTStd" w:cs="ArialNarrowMTStd"/>
        </w:rPr>
      </w:pPr>
    </w:p>
    <w:p w14:paraId="450FF3AF"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 xml:space="preserve">Dry </w:t>
      </w:r>
      <w:r>
        <w:rPr>
          <w:rFonts w:ascii="ArialNarrowMTStd" w:hAnsi="ArialNarrowMTStd" w:cs="ArialNarrowMTStd"/>
        </w:rPr>
        <w:tab/>
        <w:t>Prompt: None</w:t>
      </w:r>
    </w:p>
    <w:p w14:paraId="10045206"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Time: 15:00**</w:t>
      </w:r>
    </w:p>
    <w:p w14:paraId="10CB74AB" w14:textId="77777777" w:rsidR="00652F9A" w:rsidRDefault="00652F9A" w:rsidP="00652F9A">
      <w:pPr>
        <w:pStyle w:val="Parameters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 w:hAnsi="ArialNarrowMTStd" w:cs="ArialNarrowMTStd"/>
        </w:rPr>
        <w:tab/>
        <w:t>Temperature: 70°C</w:t>
      </w:r>
    </w:p>
    <w:p w14:paraId="68477858" w14:textId="77777777" w:rsidR="00652F9A" w:rsidRDefault="00652F9A" w:rsidP="00652F9A">
      <w:pPr>
        <w:pStyle w:val="Parameterstabs"/>
        <w:rPr>
          <w:rFonts w:ascii="ArialNarrowMTStd" w:hAnsi="ArialNarrowMTStd" w:cs="ArialNarrowMTStd"/>
        </w:rPr>
      </w:pPr>
    </w:p>
    <w:p w14:paraId="18E0B8F7" w14:textId="77777777" w:rsidR="00652F9A" w:rsidRDefault="00652F9A" w:rsidP="00652F9A">
      <w:pPr>
        <w:pStyle w:val="Parameterstabs"/>
        <w:spacing w:after="20"/>
        <w:rPr>
          <w:rFonts w:ascii="ArialNarrowMTStd" w:hAnsi="ArialNarrowMTStd" w:cs="ArialNarrowMTStd"/>
        </w:rPr>
      </w:pPr>
      <w:r>
        <w:rPr>
          <w:rFonts w:ascii="ArialNarrowMTStd" w:hAnsi="ArialNarrowMTStd" w:cs="ArialNarrowMTStd"/>
        </w:rPr>
        <w:tab/>
      </w:r>
      <w:r>
        <w:rPr>
          <w:rFonts w:ascii="ArialNarrowMTStd" w:hAnsi="ArialNarrowMTStd" w:cs="ArialNarrowMTStd"/>
        </w:rPr>
        <w:tab/>
      </w:r>
      <w:r>
        <w:rPr>
          <w:rFonts w:ascii="ArialNarrowMTStd-Bold" w:hAnsi="ArialNarrowMTStd-Bold" w:cs="ArialNarrowMTStd-Bold"/>
          <w:b/>
          <w:bCs/>
        </w:rPr>
        <w:t>End</w:t>
      </w:r>
    </w:p>
    <w:p w14:paraId="00248BEA" w14:textId="0B80A172" w:rsidR="00652F9A" w:rsidRDefault="008E196B" w:rsidP="00652F9A">
      <w:pPr>
        <w:pStyle w:val="BodyCopy"/>
        <w:spacing w:before="40"/>
        <w:rPr>
          <w:rFonts w:ascii="ArialNarrowMTStd" w:hAnsi="ArialNarrowMTStd" w:cs="ArialNarrowMTStd"/>
        </w:rPr>
      </w:pPr>
      <w:r>
        <w:rPr>
          <w:rFonts w:ascii="ArialNarrowMTStd" w:hAnsi="ArialNarrowMTStd" w:cs="ArialNarrowMTStd"/>
        </w:rPr>
        <w:tab/>
        <w:t>1.</w:t>
      </w:r>
      <w:r>
        <w:rPr>
          <w:rFonts w:ascii="ArialNarrowMTStd" w:hAnsi="ArialNarrowMTStd" w:cs="ArialNarrowMTStd"/>
        </w:rPr>
        <w:tab/>
      </w:r>
      <w:r w:rsidR="00652F9A">
        <w:rPr>
          <w:rFonts w:ascii="ArialNarrowMTStd" w:hAnsi="ArialNarrowMTStd" w:cs="ArialNarrowMTStd"/>
        </w:rPr>
        <w:t>Open the chamber lid and place the Sample Tray with samples on the SPIFE Touch. Align the holes in the tray with the pins on the instrument.</w:t>
      </w:r>
    </w:p>
    <w:p w14:paraId="15183B9E" w14:textId="7D165E4F" w:rsidR="00652F9A" w:rsidRDefault="008E196B" w:rsidP="00652F9A">
      <w:pPr>
        <w:pStyle w:val="BodyCopy"/>
        <w:rPr>
          <w:rFonts w:ascii="ArialNarrowMTStd" w:hAnsi="ArialNarrowMTStd" w:cs="ArialNarrowMTStd"/>
        </w:rPr>
      </w:pPr>
      <w:r>
        <w:rPr>
          <w:rFonts w:ascii="ArialNarrowMTStd" w:hAnsi="ArialNarrowMTStd" w:cs="ArialNarrowMTStd"/>
        </w:rPr>
        <w:tab/>
        <w:t>2.</w:t>
      </w:r>
      <w:r>
        <w:rPr>
          <w:rFonts w:ascii="ArialNarrowMTStd" w:hAnsi="ArialNarrowMTStd" w:cs="ArialNarrowMTStd"/>
        </w:rPr>
        <w:tab/>
      </w:r>
      <w:r w:rsidR="00652F9A">
        <w:rPr>
          <w:rFonts w:ascii="ArialNarrowMTStd" w:hAnsi="ArialNarrowMTStd" w:cs="ArialNarrowMTStd"/>
        </w:rPr>
        <w:t>Place a reconstituted vial of reagent in the center hole of the reagent bar, ensuring that the vial is pushed down as far as it can go. Close the chamber lid.</w:t>
      </w:r>
    </w:p>
    <w:p w14:paraId="5DB3EB4C" w14:textId="7EA9FEC4" w:rsidR="00652F9A" w:rsidRDefault="008E196B" w:rsidP="00652F9A">
      <w:pPr>
        <w:pStyle w:val="BodyCopy"/>
        <w:rPr>
          <w:rFonts w:ascii="ArialNarrowMTStd" w:hAnsi="ArialNarrowMTStd" w:cs="ArialNarrowMTStd"/>
        </w:rPr>
      </w:pPr>
      <w:r>
        <w:rPr>
          <w:rFonts w:ascii="ArialNarrowMTStd" w:hAnsi="ArialNarrowMTStd" w:cs="ArialNarrowMTStd"/>
        </w:rPr>
        <w:tab/>
        <w:t>3.</w:t>
      </w:r>
      <w:r>
        <w:rPr>
          <w:rFonts w:ascii="ArialNarrowMTStd" w:hAnsi="ArialNarrowMTStd" w:cs="ArialNarrowMTStd"/>
        </w:rPr>
        <w:tab/>
      </w:r>
      <w:r w:rsidR="00652F9A">
        <w:rPr>
          <w:rFonts w:ascii="ArialNarrowMTStd" w:hAnsi="ArialNarrowMTStd" w:cs="ArialNarrowMTStd"/>
        </w:rPr>
        <w:t xml:space="preserve">Use the arrows under </w:t>
      </w:r>
      <w:r w:rsidR="00652F9A">
        <w:rPr>
          <w:rFonts w:ascii="ArialNarrowMTStd-Bold" w:hAnsi="ArialNarrowMTStd-Bold" w:cs="ArialNarrowMTStd-Bold"/>
          <w:b/>
          <w:bCs/>
        </w:rPr>
        <w:t>SEPARATOR UNIT</w:t>
      </w:r>
      <w:r w:rsidR="00652F9A">
        <w:rPr>
          <w:rFonts w:ascii="ArialNarrowMTStd" w:hAnsi="ArialNarrowMTStd" w:cs="ArialNarrowMTStd"/>
        </w:rPr>
        <w:t xml:space="preserve"> to select the appropriate test. Press </w:t>
      </w:r>
      <w:r w:rsidR="00652F9A">
        <w:rPr>
          <w:rFonts w:ascii="ArialNarrowMTStd-Bold" w:hAnsi="ArialNarrowMTStd-Bold" w:cs="ArialNarrowMTStd-Bold"/>
          <w:b/>
          <w:bCs/>
        </w:rPr>
        <w:t>START</w:t>
      </w:r>
      <w:r w:rsidR="00652F9A">
        <w:rPr>
          <w:rFonts w:ascii="ArialNarrowMTStd" w:hAnsi="ArialNarrowMTStd" w:cs="ArialNarrowMTStd"/>
        </w:rPr>
        <w:t xml:space="preserve"> and choose an operation to proceed. The SPIFE Touch will apply the samples, and beep when completed.</w:t>
      </w:r>
    </w:p>
    <w:p w14:paraId="5A56B514" w14:textId="38268949" w:rsidR="00652F9A" w:rsidRDefault="008E196B" w:rsidP="00652F9A">
      <w:pPr>
        <w:pStyle w:val="BodyCopy"/>
        <w:rPr>
          <w:rFonts w:ascii="ArialNarrowMTStd" w:hAnsi="ArialNarrowMTStd" w:cs="ArialNarrowMTStd"/>
        </w:rPr>
      </w:pPr>
      <w:r>
        <w:rPr>
          <w:rFonts w:ascii="ArialNarrowMTStd" w:hAnsi="ArialNarrowMTStd" w:cs="ArialNarrowMTStd"/>
        </w:rPr>
        <w:tab/>
        <w:t>4.</w:t>
      </w:r>
      <w:r>
        <w:rPr>
          <w:rFonts w:ascii="ArialNarrowMTStd" w:hAnsi="ArialNarrowMTStd" w:cs="ArialNarrowMTStd"/>
        </w:rPr>
        <w:tab/>
      </w:r>
      <w:r w:rsidR="00652F9A">
        <w:rPr>
          <w:rFonts w:ascii="ArialNarrowMTStd" w:hAnsi="ArialNarrowMTStd" w:cs="ArialNarrowMTStd"/>
        </w:rPr>
        <w:t>Open the chamber lid, remove and dispose of blades as biohazardous waste.</w:t>
      </w:r>
    </w:p>
    <w:p w14:paraId="4B6DB6F4" w14:textId="3C552042" w:rsidR="00652F9A" w:rsidRDefault="008E196B" w:rsidP="00652F9A">
      <w:pPr>
        <w:pStyle w:val="BodyCopy"/>
        <w:rPr>
          <w:rFonts w:ascii="ArialNarrowMTStd" w:hAnsi="ArialNarrowMTStd" w:cs="ArialNarrowMTStd"/>
        </w:rPr>
      </w:pPr>
      <w:r>
        <w:rPr>
          <w:rFonts w:ascii="ArialNarrowMTStd" w:hAnsi="ArialNarrowMTStd" w:cs="ArialNarrowMTStd"/>
        </w:rPr>
        <w:tab/>
        <w:t>5.</w:t>
      </w:r>
      <w:r>
        <w:rPr>
          <w:rFonts w:ascii="ArialNarrowMTStd" w:hAnsi="ArialNarrowMTStd" w:cs="ArialNarrowMTStd"/>
        </w:rPr>
        <w:tab/>
      </w:r>
      <w:r w:rsidR="00652F9A">
        <w:rPr>
          <w:rFonts w:ascii="ArialNarrowMTStd" w:hAnsi="ArialNarrowMTStd" w:cs="ArialNarrowMTStd"/>
        </w:rPr>
        <w:t>Insert a Chamber Cover in the grooves of the chamber.</w:t>
      </w:r>
    </w:p>
    <w:p w14:paraId="4B107DB1" w14:textId="670A6E17" w:rsidR="00652F9A" w:rsidRDefault="008E196B" w:rsidP="00652F9A">
      <w:pPr>
        <w:pStyle w:val="BodyCopy"/>
        <w:rPr>
          <w:rFonts w:ascii="ArialNarrowMTStd" w:hAnsi="ArialNarrowMTStd" w:cs="ArialNarrowMTStd"/>
        </w:rPr>
      </w:pPr>
      <w:r>
        <w:rPr>
          <w:rFonts w:ascii="ArialNarrowMTStd" w:hAnsi="ArialNarrowMTStd" w:cs="ArialNarrowMTStd"/>
        </w:rPr>
        <w:tab/>
        <w:t>6.</w:t>
      </w:r>
      <w:r>
        <w:rPr>
          <w:rFonts w:ascii="ArialNarrowMTStd" w:hAnsi="ArialNarrowMTStd" w:cs="ArialNarrowMTStd"/>
        </w:rPr>
        <w:tab/>
      </w:r>
      <w:r w:rsidR="00652F9A">
        <w:rPr>
          <w:rFonts w:ascii="ArialNarrowMTStd" w:hAnsi="ArialNarrowMTStd" w:cs="ArialNarrowMTStd"/>
        </w:rPr>
        <w:t xml:space="preserve">Close the chamber lid and press the </w:t>
      </w:r>
      <w:r w:rsidR="00652F9A">
        <w:rPr>
          <w:rFonts w:ascii="ArialNarrowMTStd-Bold" w:hAnsi="ArialNarrowMTStd-Bold" w:cs="ArialNarrowMTStd-Bold"/>
          <w:b/>
          <w:bCs/>
          <w:caps/>
        </w:rPr>
        <w:t>continue</w:t>
      </w:r>
      <w:r w:rsidR="00652F9A">
        <w:rPr>
          <w:rFonts w:ascii="ArialNarrowMTStd" w:hAnsi="ArialNarrowMTStd" w:cs="ArialNarrowMTStd"/>
        </w:rPr>
        <w:t xml:space="preserve"> button to start electrophoresis. When completed, the unit will beep. </w:t>
      </w:r>
    </w:p>
    <w:p w14:paraId="52B2BAFA" w14:textId="0C57342B" w:rsidR="00652F9A" w:rsidRDefault="008E196B" w:rsidP="00652F9A">
      <w:pPr>
        <w:pStyle w:val="BodyCopy"/>
        <w:rPr>
          <w:rFonts w:ascii="ArialNarrowMTStd" w:hAnsi="ArialNarrowMTStd" w:cs="ArialNarrowMTStd"/>
        </w:rPr>
      </w:pPr>
      <w:r>
        <w:rPr>
          <w:rFonts w:ascii="ArialNarrowMTStd" w:hAnsi="ArialNarrowMTStd" w:cs="ArialNarrowMTStd"/>
        </w:rPr>
        <w:tab/>
        <w:t>7.</w:t>
      </w:r>
      <w:r>
        <w:rPr>
          <w:rFonts w:ascii="ArialNarrowMTStd" w:hAnsi="ArialNarrowMTStd" w:cs="ArialNarrowMTStd"/>
        </w:rPr>
        <w:tab/>
      </w:r>
      <w:r w:rsidR="00652F9A">
        <w:rPr>
          <w:rFonts w:ascii="ArialNarrowMTStd" w:hAnsi="ArialNarrowMTStd" w:cs="ArialNarrowMTStd"/>
        </w:rPr>
        <w:t>Open the chamber lid and remove the chamber cover.</w:t>
      </w:r>
    </w:p>
    <w:p w14:paraId="2DBBF432" w14:textId="28B79ABA" w:rsidR="00652F9A" w:rsidRDefault="008E196B" w:rsidP="00652F9A">
      <w:pPr>
        <w:pStyle w:val="BodyCopy"/>
        <w:rPr>
          <w:rFonts w:ascii="ArialNarrowMTStd-Bold" w:hAnsi="ArialNarrowMTStd-Bold" w:cs="ArialNarrowMTStd-Bold"/>
          <w:b/>
          <w:bCs/>
        </w:rPr>
      </w:pPr>
      <w:r>
        <w:rPr>
          <w:rFonts w:ascii="ArialNarrowMTStd" w:hAnsi="ArialNarrowMTStd" w:cs="ArialNarrowMTStd"/>
        </w:rPr>
        <w:tab/>
        <w:t>8.</w:t>
      </w:r>
      <w:r>
        <w:rPr>
          <w:rFonts w:ascii="ArialNarrowMTStd" w:hAnsi="ArialNarrowMTStd" w:cs="ArialNarrowMTStd"/>
        </w:rPr>
        <w:tab/>
      </w:r>
      <w:r w:rsidR="00652F9A">
        <w:rPr>
          <w:rFonts w:ascii="ArialNarrowMTStd" w:hAnsi="ArialNarrowMTStd" w:cs="ArialNarrowMTStd"/>
        </w:rPr>
        <w:t xml:space="preserve">With the gel still in the chamber, use a Gel Block Remover to completely remove and discard the two gel blocks. </w:t>
      </w:r>
    </w:p>
    <w:p w14:paraId="1E93E0CE" w14:textId="6C8E6B77" w:rsidR="00652F9A" w:rsidRDefault="008E196B" w:rsidP="00652F9A">
      <w:pPr>
        <w:pStyle w:val="BodyCopy"/>
        <w:rPr>
          <w:rFonts w:ascii="ArialNarrowMTStd" w:hAnsi="ArialNarrowMTStd" w:cs="ArialNarrowMTStd"/>
        </w:rPr>
      </w:pPr>
      <w:r>
        <w:rPr>
          <w:rFonts w:ascii="ArialNarrowMTStd" w:hAnsi="ArialNarrowMTStd" w:cs="ArialNarrowMTStd"/>
        </w:rPr>
        <w:tab/>
        <w:t>9.</w:t>
      </w:r>
      <w:r>
        <w:rPr>
          <w:rFonts w:ascii="ArialNarrowMTStd" w:hAnsi="ArialNarrowMTStd" w:cs="ArialNarrowMTStd"/>
        </w:rPr>
        <w:tab/>
      </w:r>
      <w:r w:rsidR="00652F9A">
        <w:rPr>
          <w:rFonts w:ascii="ArialNarrowMTStd" w:hAnsi="ArialNarrowMTStd" w:cs="ArialNarrowMTStd"/>
        </w:rPr>
        <w:t>Use a lint-free tissue to wipe around the edges of the gel, including the gel block area.</w:t>
      </w:r>
    </w:p>
    <w:p w14:paraId="2A2412FB" w14:textId="3B925C99" w:rsidR="00652F9A" w:rsidRDefault="00652F9A" w:rsidP="00652F9A">
      <w:pPr>
        <w:pStyle w:val="BodyCopy"/>
        <w:rPr>
          <w:rFonts w:ascii="ArialNarrowMTStd" w:hAnsi="ArialNarrowMTStd" w:cs="ArialNarrowMTStd"/>
        </w:rPr>
      </w:pPr>
      <w:r>
        <w:rPr>
          <w:rFonts w:ascii="ArialNarrowMTStd" w:hAnsi="ArialNarrowMTStd" w:cs="ArialNarrowMTStd"/>
          <w:spacing w:val="0"/>
        </w:rPr>
        <w:t xml:space="preserve">    </w:t>
      </w:r>
      <w:r w:rsidR="008E196B">
        <w:rPr>
          <w:rFonts w:ascii="ArialNarrowMTStd" w:hAnsi="ArialNarrowMTStd" w:cs="ArialNarrowMTStd"/>
        </w:rPr>
        <w:t>10.</w:t>
      </w:r>
      <w:r w:rsidR="008E196B">
        <w:rPr>
          <w:rFonts w:ascii="ArialNarrowMTStd" w:hAnsi="ArialNarrowMTStd" w:cs="ArialNarrowMTStd"/>
        </w:rPr>
        <w:tab/>
      </w:r>
      <w:r>
        <w:rPr>
          <w:rFonts w:ascii="ArialNarrowMTStd" w:hAnsi="ArialNarrowMTStd" w:cs="ArialNarrowMTStd"/>
        </w:rPr>
        <w:t>Place two Reagent Spreaders (glass rods) on the gel, inside the magnetic posts. Close the lid.</w:t>
      </w:r>
    </w:p>
    <w:p w14:paraId="78F71BF7" w14:textId="77777777" w:rsidR="008E196B" w:rsidRDefault="008E196B" w:rsidP="00652F9A">
      <w:pPr>
        <w:pStyle w:val="Bodycopybold"/>
        <w:rPr>
          <w:rFonts w:ascii="ArialNarrowMTStd-Bold" w:hAnsi="ArialNarrowMTStd-Bold" w:cs="ArialNarrowMTStd-Bold"/>
        </w:rPr>
      </w:pPr>
    </w:p>
    <w:p w14:paraId="44F90059" w14:textId="77777777" w:rsidR="00652F9A" w:rsidRDefault="00652F9A" w:rsidP="00652F9A">
      <w:pPr>
        <w:pStyle w:val="Bodycopybold"/>
        <w:rPr>
          <w:rFonts w:ascii="ArialNarrowMTStd-Bold" w:hAnsi="ArialNarrowMTStd-Bold" w:cs="ArialNarrowMTStd-Bold"/>
        </w:rPr>
      </w:pPr>
      <w:r>
        <w:rPr>
          <w:rFonts w:ascii="ArialNarrowMTStd-Bold" w:hAnsi="ArialNarrowMTStd-Bold" w:cs="ArialNarrowMTStd-Bold"/>
        </w:rPr>
        <w:t>VI.</w:t>
      </w:r>
      <w:r>
        <w:rPr>
          <w:rFonts w:ascii="ArialNarrowMTStd-Bold" w:hAnsi="ArialNarrowMTStd-Bold" w:cs="ArialNarrowMTStd-Bold"/>
        </w:rPr>
        <w:tab/>
        <w:t>Incubation</w:t>
      </w:r>
    </w:p>
    <w:p w14:paraId="1F8F3605" w14:textId="765F30F7" w:rsidR="00652F9A" w:rsidRDefault="008E196B" w:rsidP="00652F9A">
      <w:pPr>
        <w:pStyle w:val="BodyCopy"/>
        <w:rPr>
          <w:rFonts w:ascii="ArialNarrowMTStd" w:hAnsi="ArialNarrowMTStd" w:cs="ArialNarrowMTStd"/>
        </w:rPr>
      </w:pPr>
      <w:r>
        <w:rPr>
          <w:rFonts w:ascii="ArialNarrowMTStd-Bold" w:hAnsi="ArialNarrowMTStd-Bold" w:cs="ArialNarrowMTStd-Bold"/>
          <w:b/>
          <w:bCs/>
        </w:rPr>
        <w:tab/>
        <w:t>1.</w:t>
      </w:r>
      <w:r>
        <w:rPr>
          <w:rFonts w:ascii="ArialNarrowMTStd-Bold" w:hAnsi="ArialNarrowMTStd-Bold" w:cs="ArialNarrowMTStd-Bold"/>
          <w:b/>
          <w:bCs/>
        </w:rPr>
        <w:tab/>
      </w:r>
      <w:r w:rsidR="00652F9A">
        <w:rPr>
          <w:rFonts w:ascii="ArialNarrowMTStd-Bold" w:hAnsi="ArialNarrowMTStd-Bold" w:cs="ArialNarrowMTStd-Bold"/>
          <w:b/>
          <w:bCs/>
        </w:rPr>
        <w:t>Press the CONTINUE</w:t>
      </w:r>
      <w:r w:rsidR="00652F9A">
        <w:rPr>
          <w:rFonts w:ascii="ArialNarrowMTStd" w:hAnsi="ArialNarrowMTStd" w:cs="ArialNarrowMTStd"/>
        </w:rPr>
        <w:t xml:space="preserve"> button to apply reagent and then begin incubation.</w:t>
      </w:r>
    </w:p>
    <w:p w14:paraId="54180F91" w14:textId="6EF4D543" w:rsidR="00652F9A" w:rsidRDefault="008E196B" w:rsidP="00652F9A">
      <w:pPr>
        <w:pStyle w:val="BodyCopy"/>
        <w:rPr>
          <w:rFonts w:ascii="ArialNarrowMTStd" w:hAnsi="ArialNarrowMTStd" w:cs="ArialNarrowMTStd"/>
          <w:spacing w:val="0"/>
        </w:rPr>
      </w:pPr>
      <w:r>
        <w:rPr>
          <w:rFonts w:ascii="ArialNarrowMTStd" w:hAnsi="ArialNarrowMTStd" w:cs="ArialNarrowMTStd"/>
          <w:spacing w:val="0"/>
        </w:rPr>
        <w:tab/>
        <w:t>2.</w:t>
      </w:r>
      <w:r>
        <w:rPr>
          <w:rFonts w:ascii="ArialNarrowMTStd" w:hAnsi="ArialNarrowMTStd" w:cs="ArialNarrowMTStd"/>
          <w:spacing w:val="0"/>
        </w:rPr>
        <w:tab/>
      </w:r>
      <w:r w:rsidR="00652F9A">
        <w:rPr>
          <w:rFonts w:ascii="ArialNarrowMTStd" w:hAnsi="ArialNarrowMTStd" w:cs="ArialNarrowMTStd"/>
          <w:spacing w:val="0"/>
        </w:rPr>
        <w:t>At the end of the incubation, the instrument will beep. Remove the gel from the chamber.</w:t>
      </w:r>
    </w:p>
    <w:p w14:paraId="3A1A1EE5" w14:textId="271CB4F8" w:rsidR="00652F9A" w:rsidRDefault="008E196B" w:rsidP="00652F9A">
      <w:pPr>
        <w:pStyle w:val="BodyCopy"/>
        <w:rPr>
          <w:rFonts w:ascii="ArialNarrowMTStd" w:hAnsi="ArialNarrowMTStd" w:cs="ArialNarrowMTStd"/>
        </w:rPr>
      </w:pPr>
      <w:r>
        <w:rPr>
          <w:rFonts w:ascii="ArialNarrowMTStd" w:hAnsi="ArialNarrowMTStd" w:cs="ArialNarrowMTStd"/>
        </w:rPr>
        <w:tab/>
        <w:t>3.</w:t>
      </w:r>
      <w:r>
        <w:rPr>
          <w:rFonts w:ascii="ArialNarrowMTStd" w:hAnsi="ArialNarrowMTStd" w:cs="ArialNarrowMTStd"/>
        </w:rPr>
        <w:tab/>
      </w:r>
      <w:r w:rsidR="00652F9A">
        <w:rPr>
          <w:rFonts w:ascii="ArialNarrowMTStd" w:hAnsi="ArialNarrowMTStd" w:cs="ArialNarrowMTStd"/>
        </w:rPr>
        <w:t xml:space="preserve">Attach the gel to the holder by placing the round hole in the gel </w:t>
      </w:r>
      <w:proofErr w:type="spellStart"/>
      <w:r w:rsidR="00652F9A">
        <w:rPr>
          <w:rFonts w:ascii="ArialNarrowMTStd" w:hAnsi="ArialNarrowMTStd" w:cs="ArialNarrowMTStd"/>
        </w:rPr>
        <w:t>mylar</w:t>
      </w:r>
      <w:proofErr w:type="spellEnd"/>
      <w:r w:rsidR="00652F9A">
        <w:rPr>
          <w:rFonts w:ascii="ArialNarrowMTStd" w:hAnsi="ArialNarrowMTStd" w:cs="ArialNarrowMTStd"/>
        </w:rPr>
        <w:t xml:space="preserve"> over the left pin on the holder and the </w:t>
      </w:r>
      <w:proofErr w:type="spellStart"/>
      <w:r w:rsidR="00652F9A">
        <w:rPr>
          <w:rFonts w:ascii="ArialNarrowMTStd" w:hAnsi="ArialNarrowMTStd" w:cs="ArialNarrowMTStd"/>
        </w:rPr>
        <w:t>obround</w:t>
      </w:r>
      <w:proofErr w:type="spellEnd"/>
      <w:r w:rsidR="00652F9A">
        <w:rPr>
          <w:rFonts w:ascii="ArialNarrowMTStd" w:hAnsi="ArialNarrowMTStd" w:cs="ArialNarrowMTStd"/>
        </w:rPr>
        <w:t xml:space="preserve"> hole over the right pin on the holder.</w:t>
      </w:r>
    </w:p>
    <w:p w14:paraId="171FFC47" w14:textId="177DD890" w:rsidR="00652F9A" w:rsidRDefault="008E196B" w:rsidP="00652F9A">
      <w:pPr>
        <w:pStyle w:val="BodyCopy"/>
        <w:rPr>
          <w:rFonts w:ascii="ArialNarrowMTStd" w:hAnsi="ArialNarrowMTStd" w:cs="ArialNarrowMTStd"/>
        </w:rPr>
      </w:pPr>
      <w:r>
        <w:rPr>
          <w:rFonts w:ascii="ArialNarrowMTStd" w:hAnsi="ArialNarrowMTStd" w:cs="ArialNarrowMTStd"/>
        </w:rPr>
        <w:tab/>
        <w:t>4.</w:t>
      </w:r>
      <w:r>
        <w:rPr>
          <w:rFonts w:ascii="ArialNarrowMTStd" w:hAnsi="ArialNarrowMTStd" w:cs="ArialNarrowMTStd"/>
        </w:rPr>
        <w:tab/>
      </w:r>
      <w:r w:rsidR="00652F9A">
        <w:rPr>
          <w:rFonts w:ascii="ArialNarrowMTStd" w:hAnsi="ArialNarrowMTStd" w:cs="ArialNarrowMTStd"/>
        </w:rPr>
        <w:t xml:space="preserve">Place the Gel Holder with the attached gel facing backwards into the </w:t>
      </w:r>
      <w:proofErr w:type="spellStart"/>
      <w:r w:rsidR="00652F9A">
        <w:rPr>
          <w:rFonts w:ascii="ArialNarrowMTStd" w:hAnsi="ArialNarrowMTStd" w:cs="ArialNarrowMTStd"/>
        </w:rPr>
        <w:t>stainer</w:t>
      </w:r>
      <w:proofErr w:type="spellEnd"/>
      <w:r w:rsidR="00652F9A">
        <w:rPr>
          <w:rFonts w:ascii="ArialNarrowMTStd" w:hAnsi="ArialNarrowMTStd" w:cs="ArialNarrowMTStd"/>
        </w:rPr>
        <w:t xml:space="preserve"> chamber.</w:t>
      </w:r>
    </w:p>
    <w:p w14:paraId="411DF567" w14:textId="13CDA7C0" w:rsidR="00652F9A" w:rsidRDefault="008E196B" w:rsidP="00652F9A">
      <w:pPr>
        <w:pStyle w:val="BodyCopy"/>
        <w:rPr>
          <w:rFonts w:ascii="ArialNarrowMTStd" w:hAnsi="ArialNarrowMTStd" w:cs="ArialNarrowMTStd"/>
        </w:rPr>
      </w:pPr>
      <w:r>
        <w:rPr>
          <w:rFonts w:ascii="ArialNarrowMTStd" w:hAnsi="ArialNarrowMTStd" w:cs="ArialNarrowMTStd"/>
        </w:rPr>
        <w:tab/>
        <w:t>5.</w:t>
      </w:r>
      <w:r>
        <w:rPr>
          <w:rFonts w:ascii="ArialNarrowMTStd" w:hAnsi="ArialNarrowMTStd" w:cs="ArialNarrowMTStd"/>
        </w:rPr>
        <w:tab/>
      </w:r>
      <w:r w:rsidR="00652F9A">
        <w:rPr>
          <w:rFonts w:ascii="ArialNarrowMTStd" w:hAnsi="ArialNarrowMTStd" w:cs="ArialNarrowMTStd"/>
        </w:rPr>
        <w:t xml:space="preserve">Use the arrows under </w:t>
      </w:r>
      <w:r w:rsidR="00652F9A">
        <w:rPr>
          <w:rFonts w:ascii="ArialNarrowMTStd-Bold" w:hAnsi="ArialNarrowMTStd-Bold" w:cs="ArialNarrowMTStd-Bold"/>
          <w:b/>
          <w:bCs/>
        </w:rPr>
        <w:t>STAINER UNIT</w:t>
      </w:r>
      <w:r w:rsidR="00652F9A">
        <w:rPr>
          <w:rFonts w:ascii="ArialNarrowMTStd" w:hAnsi="ArialNarrowMTStd" w:cs="ArialNarrowMTStd"/>
        </w:rPr>
        <w:t xml:space="preserve"> to select the appropriate test. Press </w:t>
      </w:r>
      <w:r w:rsidR="00652F9A">
        <w:rPr>
          <w:rFonts w:ascii="ArialNarrowMTStd-Bold" w:hAnsi="ArialNarrowMTStd-Bold" w:cs="ArialNarrowMTStd-Bold"/>
          <w:b/>
          <w:bCs/>
        </w:rPr>
        <w:t>START</w:t>
      </w:r>
      <w:r w:rsidR="00652F9A">
        <w:rPr>
          <w:rFonts w:ascii="ArialNarrowMTStd" w:hAnsi="ArialNarrowMTStd" w:cs="ArialNarrowMTStd"/>
        </w:rPr>
        <w:t xml:space="preserve"> and choose an operation to proceed. The instrument will </w:t>
      </w:r>
      <w:proofErr w:type="spellStart"/>
      <w:r w:rsidR="00652F9A">
        <w:rPr>
          <w:rFonts w:ascii="ArialNarrowMTStd" w:hAnsi="ArialNarrowMTStd" w:cs="ArialNarrowMTStd"/>
        </w:rPr>
        <w:t>destain</w:t>
      </w:r>
      <w:proofErr w:type="spellEnd"/>
      <w:r w:rsidR="00652F9A">
        <w:rPr>
          <w:rFonts w:ascii="ArialNarrowMTStd" w:hAnsi="ArialNarrowMTStd" w:cs="ArialNarrowMTStd"/>
        </w:rPr>
        <w:t xml:space="preserve"> and dry the gel.</w:t>
      </w:r>
    </w:p>
    <w:p w14:paraId="355C4071" w14:textId="1C07A96D" w:rsidR="00652F9A" w:rsidRDefault="008E196B" w:rsidP="00652F9A">
      <w:pPr>
        <w:pStyle w:val="BodyCopy"/>
        <w:rPr>
          <w:rFonts w:ascii="ArialNarrowMTStd" w:hAnsi="ArialNarrowMTStd" w:cs="ArialNarrowMTStd"/>
        </w:rPr>
      </w:pPr>
      <w:r>
        <w:rPr>
          <w:rFonts w:ascii="ArialNarrowMTStd" w:hAnsi="ArialNarrowMTStd" w:cs="ArialNarrowMTStd"/>
        </w:rPr>
        <w:tab/>
        <w:t>6.</w:t>
      </w:r>
      <w:r>
        <w:rPr>
          <w:rFonts w:ascii="ArialNarrowMTStd" w:hAnsi="ArialNarrowMTStd" w:cs="ArialNarrowMTStd"/>
        </w:rPr>
        <w:tab/>
      </w:r>
      <w:r w:rsidR="00652F9A">
        <w:rPr>
          <w:rFonts w:ascii="ArialNarrowMTStd" w:hAnsi="ArialNarrowMTStd" w:cs="ArialNarrowMTStd"/>
        </w:rPr>
        <w:t xml:space="preserve">When the gel has completed the process, the instrument will beep. Remove the Gel Holder from the </w:t>
      </w:r>
      <w:proofErr w:type="spellStart"/>
      <w:r w:rsidR="00652F9A">
        <w:rPr>
          <w:rFonts w:ascii="ArialNarrowMTStd" w:hAnsi="ArialNarrowMTStd" w:cs="ArialNarrowMTStd"/>
        </w:rPr>
        <w:t>stainer</w:t>
      </w:r>
      <w:proofErr w:type="spellEnd"/>
      <w:r w:rsidR="00652F9A">
        <w:rPr>
          <w:rFonts w:ascii="ArialNarrowMTStd" w:hAnsi="ArialNarrowMTStd" w:cs="ArialNarrowMTStd"/>
        </w:rPr>
        <w:t xml:space="preserve"> and scan the bands.</w:t>
      </w:r>
    </w:p>
    <w:p w14:paraId="2F210897" w14:textId="77777777"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Evaluation of the Alkaline Phosphatase Isoenzyme Bands</w:t>
      </w:r>
    </w:p>
    <w:p w14:paraId="21536505" w14:textId="77777777" w:rsidR="00652F9A" w:rsidRDefault="00652F9A" w:rsidP="00652F9A">
      <w:pPr>
        <w:pStyle w:val="BodyCopy"/>
        <w:rPr>
          <w:rFonts w:ascii="ArialNarrowMTStd" w:hAnsi="ArialNarrowMTStd" w:cs="ArialNarrowMTStd"/>
        </w:rPr>
      </w:pPr>
      <w:r>
        <w:rPr>
          <w:rFonts w:ascii="ArialNarrowMTStd" w:hAnsi="ArialNarrowMTStd" w:cs="ArialNarrowMTStd"/>
        </w:rPr>
        <w:t xml:space="preserve">Gels should be visually evaluated for band positions using a bone/liver control. Scan the dried Alkaline Phosphatase gels by placing the gel in the </w:t>
      </w:r>
      <w:proofErr w:type="spellStart"/>
      <w:r>
        <w:rPr>
          <w:rFonts w:ascii="ArialNarrowMTStd" w:hAnsi="ArialNarrowMTStd" w:cs="ArialNarrowMTStd"/>
        </w:rPr>
        <w:t>QuickScan</w:t>
      </w:r>
      <w:proofErr w:type="spellEnd"/>
      <w:r>
        <w:rPr>
          <w:rFonts w:ascii="ArialNarrowMTStd" w:hAnsi="ArialNarrowMTStd" w:cs="ArialNarrowMTStd"/>
        </w:rPr>
        <w:t xml:space="preserve"> Touch/2000 using slit 4 and acid violet settings. The “Smoothing” function </w:t>
      </w:r>
      <w:r>
        <w:rPr>
          <w:rFonts w:ascii="ArialNarrowMTStd" w:hAnsi="ArialNarrowMTStd" w:cs="ArialNarrowMTStd"/>
          <w:u w:val="thick" w:color="000000"/>
        </w:rPr>
        <w:t>should</w:t>
      </w:r>
      <w:r>
        <w:rPr>
          <w:rFonts w:ascii="ArialNarrowMTStd" w:hAnsi="ArialNarrowMTStd" w:cs="ArialNarrowMTStd"/>
          <w:u w:color="000000"/>
        </w:rPr>
        <w:t xml:space="preserve"> </w:t>
      </w:r>
      <w:r>
        <w:rPr>
          <w:rFonts w:ascii="ArialNarrowMTStd" w:hAnsi="ArialNarrowMTStd" w:cs="ArialNarrowMTStd"/>
        </w:rPr>
        <w:t>be set on “1” to scan the patterns. Since the GEL Alkaline Phosphatase Isoenzyme Control is quantitated, an approximate value for the patient sample can be derived by comparison to the control. The results can be reported as greater than or less than the control values.</w:t>
      </w:r>
    </w:p>
    <w:p w14:paraId="17573454" w14:textId="77777777" w:rsidR="00652F9A" w:rsidRDefault="00652F9A" w:rsidP="00652F9A">
      <w:pPr>
        <w:pStyle w:val="BodyCopy"/>
        <w:rPr>
          <w:rFonts w:ascii="ArialNarrowMTStd" w:hAnsi="ArialNarrowMTStd" w:cs="ArialNarrowMTStd"/>
        </w:rPr>
      </w:pPr>
      <w:r>
        <w:rPr>
          <w:rFonts w:ascii="ArialNarrowMTStd-Bold" w:hAnsi="ArialNarrowMTStd-Bold" w:cs="ArialNarrowMTStd-Bold"/>
          <w:b/>
          <w:bCs/>
        </w:rPr>
        <w:t>Stability of End Product:</w:t>
      </w:r>
      <w:r>
        <w:rPr>
          <w:rFonts w:ascii="ArialNarrowMTStd" w:hAnsi="ArialNarrowMTStd" w:cs="ArialNarrowMTStd"/>
        </w:rPr>
        <w:t xml:space="preserve"> Gels should be scanned and/or interpreted within 2 hours. Protect gels from light.</w:t>
      </w:r>
    </w:p>
    <w:p w14:paraId="077F473F" w14:textId="77777777" w:rsidR="00652F9A" w:rsidRDefault="00652F9A" w:rsidP="00652F9A">
      <w:pPr>
        <w:pStyle w:val="BodyCopy"/>
        <w:rPr>
          <w:rFonts w:ascii="ArialNarrowMTStd" w:hAnsi="ArialNarrowMTStd" w:cs="ArialNarrowMTStd"/>
        </w:rPr>
      </w:pPr>
      <w:r>
        <w:rPr>
          <w:rFonts w:ascii="ArialNarrowMTStd-Bold" w:hAnsi="ArialNarrowMTStd-Bold" w:cs="ArialNarrowMTStd-Bold"/>
          <w:b/>
          <w:bCs/>
        </w:rPr>
        <w:t xml:space="preserve">Calibration: </w:t>
      </w:r>
      <w:r>
        <w:rPr>
          <w:rFonts w:ascii="ArialNarrowMTStd" w:hAnsi="ArialNarrowMTStd" w:cs="ArialNarrowMTStd"/>
        </w:rPr>
        <w:t>A calibration curve is not necessary because relative concentration of the bands is the only parameter determined.</w:t>
      </w:r>
    </w:p>
    <w:p w14:paraId="38DCEF5D" w14:textId="77777777" w:rsidR="00652F9A" w:rsidRDefault="00652F9A" w:rsidP="00652F9A">
      <w:pPr>
        <w:pStyle w:val="BodyCopy"/>
        <w:rPr>
          <w:rFonts w:ascii="ArialNarrowMTStd" w:hAnsi="ArialNarrowMTStd" w:cs="ArialNarrowMTStd"/>
        </w:rPr>
      </w:pPr>
      <w:r>
        <w:rPr>
          <w:rFonts w:ascii="ArialNarrowMTStd-Bold" w:hAnsi="ArialNarrowMTStd-Bold" w:cs="ArialNarrowMTStd-Bold"/>
          <w:b/>
          <w:bCs/>
        </w:rPr>
        <w:t>Quality Control:</w:t>
      </w:r>
      <w:r>
        <w:rPr>
          <w:rFonts w:ascii="ArialNarrowMTStd" w:hAnsi="ArialNarrowMTStd" w:cs="ArialNarrowMTStd"/>
        </w:rPr>
        <w:t xml:space="preserve"> The GEL Alkaline Phosphatase Isoenzyme Control (Cat. No. 5104) verifies all phases of the procedure and should be used on each gel run. The control may be used as a marker for the proper location of the bands or it may be quantitated to verify the accuracy of </w:t>
      </w:r>
      <w:proofErr w:type="spellStart"/>
      <w:r>
        <w:rPr>
          <w:rFonts w:ascii="ArialNarrowMTStd" w:hAnsi="ArialNarrowMTStd" w:cs="ArialNarrowMTStd"/>
        </w:rPr>
        <w:t>quantitations</w:t>
      </w:r>
      <w:proofErr w:type="spellEnd"/>
      <w:r>
        <w:rPr>
          <w:rFonts w:ascii="ArialNarrowMTStd" w:hAnsi="ArialNarrowMTStd" w:cs="ArialNarrowMTStd"/>
        </w:rPr>
        <w:t xml:space="preserve"> in the procedure. Refer to the package insert provided with the control for assay values. Additional control may be needed for federal, state or local regulations.</w:t>
      </w:r>
    </w:p>
    <w:p w14:paraId="0ED79476" w14:textId="77777777" w:rsidR="00652F9A" w:rsidRDefault="00652F9A" w:rsidP="00652F9A">
      <w:pPr>
        <w:pStyle w:val="Bodycopybold"/>
        <w:rPr>
          <w:rFonts w:ascii="ArialNarrowMTStd" w:hAnsi="ArialNarrowMTStd" w:cs="ArialNarrowMTStd"/>
          <w:b w:val="0"/>
          <w:bCs w:val="0"/>
        </w:rPr>
      </w:pPr>
      <w:r>
        <w:rPr>
          <w:rFonts w:ascii="ArialNarrowMTStd" w:hAnsi="ArialNarrowMTStd" w:cs="ArialNarrowMTStd"/>
          <w:b w:val="0"/>
          <w:bCs w:val="0"/>
        </w:rPr>
        <w:t>Calculation of the Unknown</w:t>
      </w:r>
    </w:p>
    <w:p w14:paraId="7F6725E4" w14:textId="77777777" w:rsidR="00652F9A" w:rsidRDefault="00652F9A" w:rsidP="00652F9A">
      <w:pPr>
        <w:pStyle w:val="BodyCopy"/>
        <w:rPr>
          <w:rFonts w:ascii="ArialNarrowMTStd" w:hAnsi="ArialNarrowMTStd" w:cs="ArialNarrowMTStd"/>
        </w:rPr>
      </w:pPr>
      <w:r>
        <w:rPr>
          <w:rFonts w:ascii="ArialNarrowMTStd" w:hAnsi="ArialNarrowMTStd" w:cs="ArialNarrowMTStd"/>
        </w:rPr>
        <w:t>The Quick Scan Touch/2000 will automatically calculate and print the relative percent and the absolute values for each band. Refer to the appropriate Operator’s Manual provided with the densitometer.</w:t>
      </w:r>
    </w:p>
    <w:p w14:paraId="6CFB6B26" w14:textId="77777777" w:rsidR="008E196B" w:rsidRDefault="008E196B" w:rsidP="00652F9A">
      <w:pPr>
        <w:pStyle w:val="Header"/>
        <w:rPr>
          <w:rFonts w:ascii="ArialNarrowMTStd" w:hAnsi="ArialNarrowMTStd" w:cs="ArialNarrowMTStd"/>
        </w:rPr>
      </w:pPr>
    </w:p>
    <w:p w14:paraId="3325906B" w14:textId="77777777" w:rsidR="00652F9A" w:rsidRPr="008E196B" w:rsidRDefault="00652F9A" w:rsidP="00652F9A">
      <w:pPr>
        <w:pStyle w:val="Header"/>
        <w:rPr>
          <w:rFonts w:ascii="ArialNarrowMTStd" w:hAnsi="ArialNarrowMTStd" w:cs="ArialNarrowMTStd"/>
        </w:rPr>
      </w:pPr>
      <w:r w:rsidRPr="008E196B">
        <w:rPr>
          <w:rFonts w:ascii="ArialNarrowMTStd" w:hAnsi="ArialNarrowMTStd" w:cs="ArialNarrowMTStd"/>
        </w:rPr>
        <w:t>REFERENCE VALUES</w:t>
      </w:r>
    </w:p>
    <w:p w14:paraId="432224A0" w14:textId="77777777" w:rsidR="00652F9A" w:rsidRDefault="00652F9A" w:rsidP="00652F9A">
      <w:pPr>
        <w:pStyle w:val="BodyCopy"/>
        <w:rPr>
          <w:rFonts w:ascii="ArialNarrowMTStd" w:hAnsi="ArialNarrowMTStd" w:cs="ArialNarrowMTStd"/>
        </w:rPr>
      </w:pPr>
      <w:r>
        <w:rPr>
          <w:rFonts w:ascii="ArialNarrowMTStd" w:hAnsi="ArialNarrowMTStd" w:cs="ArialNarrowMTStd"/>
        </w:rPr>
        <w:t>Interpretation of isoenzyme patterns should not be attempted without knowledge of the total ALP level in the patient’s serum. Serum from normal individuals may contain small amounts of liver, bone and intestinal ALP.</w:t>
      </w:r>
      <w:r>
        <w:rPr>
          <w:rFonts w:ascii="ArialNarrowMTStd" w:hAnsi="ArialNarrowMTStd" w:cs="ArialNarrowMTStd"/>
          <w:vertAlign w:val="superscript"/>
        </w:rPr>
        <w:t>10,12,19</w:t>
      </w:r>
      <w:r>
        <w:rPr>
          <w:rFonts w:ascii="ArialNarrowMTStd" w:hAnsi="ArialNarrowMTStd" w:cs="ArialNarrowMTStd"/>
        </w:rPr>
        <w:t xml:space="preserve"> ALP levels are age and sex dependent.</w:t>
      </w:r>
      <w:r>
        <w:rPr>
          <w:rFonts w:ascii="ArialNarrowMTStd" w:hAnsi="ArialNarrowMTStd" w:cs="ArialNarrowMTStd"/>
          <w:vertAlign w:val="superscript"/>
        </w:rPr>
        <w:t>20-23</w:t>
      </w:r>
    </w:p>
    <w:p w14:paraId="0FE3DA1B" w14:textId="77777777" w:rsidR="00652F9A" w:rsidRDefault="00652F9A" w:rsidP="00652F9A">
      <w:pPr>
        <w:pStyle w:val="BodyCopy"/>
        <w:rPr>
          <w:rFonts w:ascii="ArialNarrowMTStd" w:hAnsi="ArialNarrowMTStd" w:cs="ArialNarrowMTStd"/>
        </w:rPr>
      </w:pPr>
      <w:r>
        <w:rPr>
          <w:rFonts w:ascii="ArialNarrowMTStd" w:hAnsi="ArialNarrowMTStd" w:cs="ArialNarrowMTStd"/>
        </w:rPr>
        <w:t>In children and adolescents, the bone isoenzyme is approximately 85% of the total ALP isoenzyme level. At 18-30 years of age, the bone isoenzyme decreases to 60% of the total; and above 30 years of age, it decreases to 40%.</w:t>
      </w:r>
      <w:r>
        <w:rPr>
          <w:rFonts w:ascii="ArialNarrowMTStd" w:hAnsi="ArialNarrowMTStd" w:cs="ArialNarrowMTStd"/>
          <w:vertAlign w:val="superscript"/>
        </w:rPr>
        <w:t xml:space="preserve">23 </w:t>
      </w:r>
      <w:r>
        <w:rPr>
          <w:rFonts w:ascii="ArialNarrowMTStd" w:hAnsi="ArialNarrowMTStd" w:cs="ArialNarrowMTStd"/>
        </w:rPr>
        <w:t>As the patients’ age increases, the bone isoenzyme level decreases and the liver isoenzyme level increases.</w:t>
      </w:r>
    </w:p>
    <w:p w14:paraId="3332F854" w14:textId="77777777" w:rsidR="00652F9A" w:rsidRDefault="00652F9A" w:rsidP="00652F9A">
      <w:pPr>
        <w:pStyle w:val="BodyCopy"/>
        <w:rPr>
          <w:rFonts w:ascii="ArialNarrowMTStd" w:hAnsi="ArialNarrowMTStd" w:cs="ArialNarrowMTStd"/>
        </w:rPr>
      </w:pPr>
      <w:r>
        <w:rPr>
          <w:rFonts w:ascii="ArialNarrowMTStd" w:hAnsi="ArialNarrowMTStd" w:cs="ArialNarrowMTStd"/>
        </w:rPr>
        <w:t xml:space="preserve">Forty-two samples were obtained from supposedly normal, non-fasting adult men and women and were used to derive </w:t>
      </w:r>
      <w:proofErr w:type="gramStart"/>
      <w:r>
        <w:rPr>
          <w:rFonts w:ascii="ArialNarrowMTStd" w:hAnsi="ArialNarrowMTStd" w:cs="ArialNarrowMTStd"/>
        </w:rPr>
        <w:t>an</w:t>
      </w:r>
      <w:proofErr w:type="gramEnd"/>
      <w:r>
        <w:rPr>
          <w:rFonts w:ascii="ArialNarrowMTStd" w:hAnsi="ArialNarrowMTStd" w:cs="ArialNarrowMTStd"/>
        </w:rPr>
        <w:t xml:space="preserve"> reference range with the following results:</w:t>
      </w:r>
    </w:p>
    <w:p w14:paraId="456D8309" w14:textId="77777777" w:rsidR="00652F9A" w:rsidRDefault="00652F9A" w:rsidP="00652F9A">
      <w:pPr>
        <w:pStyle w:val="BodyCopy"/>
        <w:tabs>
          <w:tab w:val="clear" w:pos="220"/>
          <w:tab w:val="clear" w:pos="440"/>
          <w:tab w:val="clear" w:pos="640"/>
          <w:tab w:val="clear" w:pos="840"/>
          <w:tab w:val="left" w:pos="1600"/>
          <w:tab w:val="right" w:pos="2650"/>
          <w:tab w:val="left" w:pos="2740"/>
        </w:tabs>
        <w:rPr>
          <w:rFonts w:ascii="ArialNarrowMTStd" w:hAnsi="ArialNarrowMTStd" w:cs="ArialNarrowMTStd"/>
        </w:rPr>
      </w:pPr>
      <w:r>
        <w:rPr>
          <w:rFonts w:ascii="ArialNarrowMTStd" w:hAnsi="ArialNarrowMTStd" w:cs="ArialNarrowMTStd"/>
        </w:rPr>
        <w:tab/>
        <w:t xml:space="preserve">Liver </w:t>
      </w:r>
      <w:r>
        <w:rPr>
          <w:rFonts w:ascii="ArialNarrowMTStd" w:hAnsi="ArialNarrowMTStd" w:cs="ArialNarrowMTStd"/>
        </w:rPr>
        <w:tab/>
        <w:t xml:space="preserve">26.0 </w:t>
      </w:r>
      <w:r>
        <w:rPr>
          <w:rFonts w:ascii="ArialNarrowMTStd" w:hAnsi="ArialNarrowMTStd" w:cs="ArialNarrowMTStd"/>
        </w:rPr>
        <w:tab/>
        <w:t>- 86.2%</w:t>
      </w:r>
    </w:p>
    <w:p w14:paraId="1548C5EA" w14:textId="77777777" w:rsidR="00652F9A" w:rsidRDefault="00652F9A" w:rsidP="00652F9A">
      <w:pPr>
        <w:pStyle w:val="BodyCopy"/>
        <w:tabs>
          <w:tab w:val="clear" w:pos="220"/>
          <w:tab w:val="clear" w:pos="440"/>
          <w:tab w:val="clear" w:pos="640"/>
          <w:tab w:val="clear" w:pos="840"/>
          <w:tab w:val="left" w:pos="1600"/>
          <w:tab w:val="right" w:pos="2650"/>
          <w:tab w:val="left" w:pos="2740"/>
        </w:tabs>
        <w:rPr>
          <w:rFonts w:ascii="ArialNarrowMTStd" w:hAnsi="ArialNarrowMTStd" w:cs="ArialNarrowMTStd"/>
        </w:rPr>
      </w:pPr>
      <w:r>
        <w:rPr>
          <w:rFonts w:ascii="ArialNarrowMTStd" w:hAnsi="ArialNarrowMTStd" w:cs="ArialNarrowMTStd"/>
        </w:rPr>
        <w:tab/>
        <w:t xml:space="preserve">Bone </w:t>
      </w:r>
      <w:r>
        <w:rPr>
          <w:rFonts w:ascii="ArialNarrowMTStd" w:hAnsi="ArialNarrowMTStd" w:cs="ArialNarrowMTStd"/>
        </w:rPr>
        <w:tab/>
        <w:t xml:space="preserve">10.7 </w:t>
      </w:r>
      <w:r>
        <w:rPr>
          <w:rFonts w:ascii="ArialNarrowMTStd" w:hAnsi="ArialNarrowMTStd" w:cs="ArialNarrowMTStd"/>
        </w:rPr>
        <w:tab/>
        <w:t xml:space="preserve">- 68.3% </w:t>
      </w:r>
    </w:p>
    <w:p w14:paraId="23DD6D17" w14:textId="77777777" w:rsidR="00652F9A" w:rsidRDefault="00652F9A" w:rsidP="00652F9A">
      <w:pPr>
        <w:pStyle w:val="BodyCopy"/>
        <w:tabs>
          <w:tab w:val="clear" w:pos="220"/>
          <w:tab w:val="clear" w:pos="440"/>
          <w:tab w:val="clear" w:pos="640"/>
          <w:tab w:val="clear" w:pos="840"/>
          <w:tab w:val="left" w:pos="1600"/>
          <w:tab w:val="right" w:pos="2650"/>
          <w:tab w:val="left" w:pos="2740"/>
        </w:tabs>
        <w:rPr>
          <w:rFonts w:ascii="ArialNarrowMTStd" w:hAnsi="ArialNarrowMTStd" w:cs="ArialNarrowMTStd"/>
        </w:rPr>
      </w:pPr>
      <w:r>
        <w:rPr>
          <w:rFonts w:ascii="ArialNarrowMTStd" w:hAnsi="ArialNarrowMTStd" w:cs="ArialNarrowMTStd"/>
        </w:rPr>
        <w:tab/>
        <w:t xml:space="preserve">Intestine </w:t>
      </w:r>
      <w:r>
        <w:rPr>
          <w:rFonts w:ascii="ArialNarrowMTStd" w:hAnsi="ArialNarrowMTStd" w:cs="ArialNarrowMTStd"/>
        </w:rPr>
        <w:tab/>
        <w:t xml:space="preserve">0.0 </w:t>
      </w:r>
      <w:r>
        <w:rPr>
          <w:rFonts w:ascii="ArialNarrowMTStd" w:hAnsi="ArialNarrowMTStd" w:cs="ArialNarrowMTStd"/>
        </w:rPr>
        <w:tab/>
        <w:t xml:space="preserve">- 15.9% </w:t>
      </w:r>
    </w:p>
    <w:p w14:paraId="00AEBEFC" w14:textId="77777777" w:rsidR="00652F9A" w:rsidRDefault="00652F9A" w:rsidP="00652F9A">
      <w:pPr>
        <w:pStyle w:val="BodyCopy"/>
        <w:rPr>
          <w:rFonts w:ascii="ArialNarrowMTStd" w:hAnsi="ArialNarrowMTStd" w:cs="ArialNarrowMTStd"/>
        </w:rPr>
      </w:pPr>
      <w:r>
        <w:rPr>
          <w:rFonts w:ascii="ArialNarrowMTStd" w:hAnsi="ArialNarrowMTStd" w:cs="ArialNarrowMTStd"/>
        </w:rPr>
        <w:t>These values should only serve as guidelines. Each laboratory should establish its own range.</w:t>
      </w:r>
    </w:p>
    <w:p w14:paraId="4AE182CB" w14:textId="77777777" w:rsidR="00652F9A" w:rsidRDefault="00652F9A" w:rsidP="00652F9A">
      <w:pPr>
        <w:pStyle w:val="BodyCopy"/>
        <w:rPr>
          <w:rFonts w:ascii="ArialNarrowMTStd" w:hAnsi="ArialNarrowMTStd" w:cs="ArialNarrowMTStd"/>
        </w:rPr>
      </w:pPr>
      <w:r>
        <w:rPr>
          <w:rFonts w:ascii="ArialNarrowMTStd" w:hAnsi="ArialNarrowMTStd" w:cs="ArialNarrowMTStd"/>
        </w:rPr>
        <w:t xml:space="preserve">Pregnant women may show a placental band. The </w:t>
      </w:r>
      <w:proofErr w:type="spellStart"/>
      <w:r>
        <w:rPr>
          <w:rFonts w:ascii="ArialNarrowMTStd" w:hAnsi="ArialNarrowMTStd" w:cs="ArialNarrowMTStd"/>
        </w:rPr>
        <w:t>macrohepatic</w:t>
      </w:r>
      <w:proofErr w:type="spellEnd"/>
      <w:r>
        <w:rPr>
          <w:rFonts w:ascii="ArialNarrowMTStd" w:hAnsi="ArialNarrowMTStd" w:cs="ArialNarrowMTStd"/>
        </w:rPr>
        <w:t xml:space="preserve"> band seen in neoplasms, and referred to as fast liver, should be interpreted as an alert to a disease state regardless of the total ALP level. The performance of Nagao, Regan and PA with this system are not known at this time. Abnormal bands have been reported in patients with normal total alkaline phosphatase levels.</w:t>
      </w:r>
    </w:p>
    <w:p w14:paraId="1E0EDAA1" w14:textId="77777777" w:rsidR="008E196B" w:rsidRDefault="008E196B" w:rsidP="00652F9A">
      <w:pPr>
        <w:pStyle w:val="BodyCopy"/>
        <w:rPr>
          <w:rFonts w:ascii="ArialNarrowMTStd" w:hAnsi="ArialNarrowMTStd" w:cs="ArialNarrowMTStd"/>
        </w:rPr>
      </w:pPr>
    </w:p>
    <w:p w14:paraId="3AE60E95" w14:textId="77777777" w:rsidR="008E196B" w:rsidRDefault="008E196B" w:rsidP="00652F9A">
      <w:pPr>
        <w:pStyle w:val="BodyCopy"/>
        <w:rPr>
          <w:rFonts w:ascii="ArialNarrowMTStd" w:hAnsi="ArialNarrowMTStd" w:cs="ArialNarrowMTStd"/>
        </w:rPr>
      </w:pPr>
    </w:p>
    <w:p w14:paraId="486376E5" w14:textId="3204C0D9" w:rsidR="00652F9A" w:rsidRDefault="00652F9A" w:rsidP="00652F9A">
      <w:pPr>
        <w:pStyle w:val="BodyCopy"/>
        <w:rPr>
          <w:rFonts w:ascii="ArialNarrowMTStd" w:hAnsi="ArialNarrowMTStd" w:cs="ArialNarrowMTStd"/>
        </w:rPr>
      </w:pPr>
      <w:r>
        <w:rPr>
          <w:rFonts w:ascii="ArialNarrowMTStd" w:hAnsi="ArialNarrowMTStd" w:cs="ArialNarrowMTStd"/>
        </w:rPr>
        <w:t xml:space="preserve"> </w:t>
      </w:r>
      <w:r w:rsidR="008E196B" w:rsidRPr="008E196B">
        <w:rPr>
          <w:rFonts w:ascii="ArialNarrowMTStd" w:hAnsi="ArialNarrowMTStd" w:cs="ArialNarrowMTStd"/>
        </w:rPr>
        <w:drawing>
          <wp:inline distT="0" distB="0" distL="0" distR="0" wp14:anchorId="7B671095" wp14:editId="3BF41678">
            <wp:extent cx="3213100" cy="14986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13100" cy="1498600"/>
                    </a:xfrm>
                    <a:prstGeom prst="rect">
                      <a:avLst/>
                    </a:prstGeom>
                  </pic:spPr>
                </pic:pic>
              </a:graphicData>
            </a:graphic>
          </wp:inline>
        </w:drawing>
      </w:r>
    </w:p>
    <w:p w14:paraId="2AD509A2" w14:textId="77777777" w:rsidR="00652F9A" w:rsidRDefault="00652F9A" w:rsidP="00652F9A">
      <w:pPr>
        <w:pStyle w:val="BodyCopy"/>
        <w:rPr>
          <w:rFonts w:ascii="ArialNarrowMTStd" w:hAnsi="ArialNarrowMTStd" w:cs="ArialNarrowMTStd"/>
        </w:rPr>
      </w:pPr>
      <w:r>
        <w:rPr>
          <w:rFonts w:ascii="ArialNarrowMTStd" w:hAnsi="ArialNarrowMTStd" w:cs="ArialNarrowMTStd"/>
        </w:rPr>
        <w:t xml:space="preserve"> </w:t>
      </w:r>
    </w:p>
    <w:p w14:paraId="0DE283CA" w14:textId="77777777" w:rsidR="00652F9A" w:rsidRDefault="00652F9A" w:rsidP="00652F9A">
      <w:pPr>
        <w:pStyle w:val="BodyCopy"/>
        <w:rPr>
          <w:rFonts w:ascii="ArialNarrowMTStd" w:hAnsi="ArialNarrowMTStd" w:cs="ArialNarrowMTStd"/>
        </w:rPr>
      </w:pPr>
      <w:r>
        <w:rPr>
          <w:rFonts w:ascii="ArialNarrowMTStd" w:hAnsi="ArialNarrowMTStd" w:cs="ArialNarrowMTStd"/>
        </w:rPr>
        <w:t>Fig 1: A SPIFE Alkaline Phosphatase gel showing relative position of the bands.</w:t>
      </w:r>
    </w:p>
    <w:p w14:paraId="5993C11A" w14:textId="77777777" w:rsidR="002F7B56" w:rsidRDefault="002F7B56" w:rsidP="00652F9A">
      <w:pPr>
        <w:pStyle w:val="Header"/>
        <w:rPr>
          <w:rFonts w:ascii="ArialNarrowMTStd" w:hAnsi="ArialNarrowMTStd" w:cs="ArialNarrowMTStd"/>
        </w:rPr>
      </w:pPr>
    </w:p>
    <w:p w14:paraId="45E69C72" w14:textId="77777777" w:rsidR="00652F9A" w:rsidRPr="002F7B56" w:rsidRDefault="00652F9A" w:rsidP="00652F9A">
      <w:pPr>
        <w:pStyle w:val="Header"/>
        <w:rPr>
          <w:rFonts w:ascii="ArialNarrowMTStd" w:hAnsi="ArialNarrowMTStd" w:cs="ArialNarrowMTStd"/>
        </w:rPr>
      </w:pPr>
      <w:r w:rsidRPr="002F7B56">
        <w:rPr>
          <w:rFonts w:ascii="ArialNarrowMTStd" w:hAnsi="ArialNarrowMTStd" w:cs="ArialNarrowMTStd"/>
        </w:rPr>
        <w:t xml:space="preserve">RESULTS </w:t>
      </w:r>
    </w:p>
    <w:p w14:paraId="3B0CA6DE" w14:textId="77777777" w:rsidR="00652F9A" w:rsidRDefault="00652F9A" w:rsidP="00652F9A">
      <w:pPr>
        <w:pStyle w:val="BodyCopy"/>
        <w:rPr>
          <w:rFonts w:ascii="ArialNarrowMTStd" w:hAnsi="ArialNarrowMTStd" w:cs="ArialNarrowMTStd"/>
        </w:rPr>
      </w:pPr>
      <w:r>
        <w:rPr>
          <w:rFonts w:ascii="ArialNarrowMTStd" w:hAnsi="ArialNarrowMTStd" w:cs="ArialNarrowMTStd"/>
        </w:rPr>
        <w:t xml:space="preserve">The liver band migrates the most anodic of all the bands. The liver band on patients with a high total will migrate more </w:t>
      </w:r>
      <w:proofErr w:type="spellStart"/>
      <w:r>
        <w:rPr>
          <w:rFonts w:ascii="ArialNarrowMTStd" w:hAnsi="ArialNarrowMTStd" w:cs="ArialNarrowMTStd"/>
        </w:rPr>
        <w:t>anodally</w:t>
      </w:r>
      <w:proofErr w:type="spellEnd"/>
      <w:r>
        <w:rPr>
          <w:rFonts w:ascii="ArialNarrowMTStd" w:hAnsi="ArialNarrowMTStd" w:cs="ArialNarrowMTStd"/>
        </w:rPr>
        <w:t xml:space="preserve"> than that on a normal level patient. The liver band is followed by a band in the bone position and then the </w:t>
      </w:r>
      <w:proofErr w:type="spellStart"/>
      <w:r>
        <w:rPr>
          <w:rFonts w:ascii="ArialNarrowMTStd" w:hAnsi="ArialNarrowMTStd" w:cs="ArialNarrowMTStd"/>
        </w:rPr>
        <w:t>macrohepatic</w:t>
      </w:r>
      <w:proofErr w:type="spellEnd"/>
      <w:r>
        <w:rPr>
          <w:rFonts w:ascii="ArialNarrowMTStd" w:hAnsi="ArialNarrowMTStd" w:cs="ArialNarrowMTStd"/>
        </w:rPr>
        <w:t xml:space="preserve"> (fast liver) band. In later stages of pregnancy, the placental band may migrate with the bone band. The placental band is heat stable and can be separated from bone.</w:t>
      </w:r>
      <w:r>
        <w:rPr>
          <w:rFonts w:ascii="ArialNarrowMTStd" w:hAnsi="ArialNarrowMTStd" w:cs="ArialNarrowMTStd"/>
          <w:vertAlign w:val="superscript"/>
        </w:rPr>
        <w:t>25</w:t>
      </w:r>
      <w:r>
        <w:rPr>
          <w:rFonts w:ascii="ArialNarrowMTStd" w:hAnsi="ArialNarrowMTStd" w:cs="ArialNarrowMTStd"/>
        </w:rPr>
        <w:t xml:space="preserve"> In the presence of a high concentration of bone activity, the bone will migrate slower than that of a normal patient. With liver running fast and bone running slow, there is greater separation of the two bands. Three minor intestinal bands are occasionally seen, particularly on </w:t>
      </w:r>
      <w:proofErr w:type="spellStart"/>
      <w:r>
        <w:rPr>
          <w:rFonts w:ascii="ArialNarrowMTStd" w:hAnsi="ArialNarrowMTStd" w:cs="ArialNarrowMTStd"/>
        </w:rPr>
        <w:t>non fasting</w:t>
      </w:r>
      <w:proofErr w:type="spellEnd"/>
      <w:r>
        <w:rPr>
          <w:rFonts w:ascii="ArialNarrowMTStd" w:hAnsi="ArialNarrowMTStd" w:cs="ArialNarrowMTStd"/>
        </w:rPr>
        <w:t xml:space="preserve"> samples. All three of the intestinal bands migrate cathodic to the </w:t>
      </w:r>
      <w:proofErr w:type="spellStart"/>
      <w:r>
        <w:rPr>
          <w:rFonts w:ascii="ArialNarrowMTStd" w:hAnsi="ArialNarrowMTStd" w:cs="ArialNarrowMTStd"/>
        </w:rPr>
        <w:t>macrohepatic</w:t>
      </w:r>
      <w:proofErr w:type="spellEnd"/>
      <w:r>
        <w:rPr>
          <w:rFonts w:ascii="ArialNarrowMTStd" w:hAnsi="ArialNarrowMTStd" w:cs="ArialNarrowMTStd"/>
        </w:rPr>
        <w:t xml:space="preserve"> band. The intestinal bands are sharp and narrow, as is the </w:t>
      </w:r>
      <w:proofErr w:type="spellStart"/>
      <w:r>
        <w:rPr>
          <w:rFonts w:ascii="ArialNarrowMTStd" w:hAnsi="ArialNarrowMTStd" w:cs="ArialNarrowMTStd"/>
        </w:rPr>
        <w:t>macrohepatic</w:t>
      </w:r>
      <w:proofErr w:type="spellEnd"/>
      <w:r>
        <w:rPr>
          <w:rFonts w:ascii="ArialNarrowMTStd" w:hAnsi="ArialNarrowMTStd" w:cs="ArialNarrowMTStd"/>
        </w:rPr>
        <w:t xml:space="preserve"> band.</w:t>
      </w:r>
    </w:p>
    <w:p w14:paraId="6F6A6A3D" w14:textId="77777777" w:rsidR="00652F9A" w:rsidRDefault="00652F9A" w:rsidP="00652F9A">
      <w:pPr>
        <w:pStyle w:val="BodyCopy"/>
        <w:rPr>
          <w:rFonts w:ascii="ArialNarrowMTStd" w:hAnsi="ArialNarrowMTStd" w:cs="ArialNarrowMTStd"/>
        </w:rPr>
      </w:pPr>
      <w:r>
        <w:rPr>
          <w:rFonts w:ascii="ArialNarrowMTStd" w:hAnsi="ArialNarrowMTStd" w:cs="ArialNarrowMTStd"/>
        </w:rPr>
        <w:t>A control should be run with each gel to use as a band marker. Each unknown specimen should be compared to the control for band migration and approximate value of each isoenzyme.</w:t>
      </w:r>
    </w:p>
    <w:p w14:paraId="607A8CF6" w14:textId="77777777" w:rsidR="00652F9A" w:rsidRPr="002F7B56" w:rsidRDefault="00652F9A" w:rsidP="00652F9A">
      <w:pPr>
        <w:pStyle w:val="Header"/>
        <w:rPr>
          <w:rFonts w:ascii="ArialNarrowMTStd" w:hAnsi="ArialNarrowMTStd" w:cs="ArialNarrowMTStd"/>
        </w:rPr>
      </w:pPr>
      <w:r w:rsidRPr="002F7B56">
        <w:rPr>
          <w:rFonts w:ascii="ArialNarrowMTStd" w:hAnsi="ArialNarrowMTStd" w:cs="ArialNarrowMTStd"/>
        </w:rPr>
        <w:t>INTERPRETATION OF RESULTS</w:t>
      </w:r>
    </w:p>
    <w:p w14:paraId="587E9B4C" w14:textId="77777777" w:rsidR="00652F9A" w:rsidRDefault="00652F9A" w:rsidP="00652F9A">
      <w:pPr>
        <w:pStyle w:val="BodyCopy"/>
        <w:rPr>
          <w:rFonts w:ascii="ArialNarrowMTStd" w:hAnsi="ArialNarrowMTStd" w:cs="ArialNarrowMTStd"/>
        </w:rPr>
      </w:pPr>
      <w:r>
        <w:rPr>
          <w:rFonts w:ascii="ArialNarrowMTStd-Bold" w:hAnsi="ArialNarrowMTStd-Bold" w:cs="ArialNarrowMTStd-Bold"/>
          <w:b/>
          <w:bCs/>
        </w:rPr>
        <w:t>LIVER ISOENZYME:</w:t>
      </w:r>
      <w:r>
        <w:rPr>
          <w:rFonts w:ascii="ArialNarrowMTStd" w:hAnsi="ArialNarrowMTStd" w:cs="ArialNarrowMTStd"/>
        </w:rPr>
        <w:t xml:space="preserve"> Liver is the isoenzyme most frequently elevated when total ALP levels are elevated.</w:t>
      </w:r>
      <w:r>
        <w:rPr>
          <w:rFonts w:ascii="ArialNarrowMTStd" w:hAnsi="ArialNarrowMTStd" w:cs="ArialNarrowMTStd"/>
          <w:vertAlign w:val="superscript"/>
        </w:rPr>
        <w:t xml:space="preserve">10,12 </w:t>
      </w:r>
      <w:r>
        <w:rPr>
          <w:rFonts w:ascii="ArialNarrowMTStd" w:hAnsi="ArialNarrowMTStd" w:cs="ArialNarrowMTStd"/>
        </w:rPr>
        <w:t>The liver ALP increases in the blood early in liver disease before most other liver function tests show abnormalities. The wide group of conditions leading to increased liver ALP include acute hepatitis, cirrhosis, fatty liver, drug induced liver disease, obstruction of biliary flow by carcinoma at the head of the pancreas, bile duct stricture, primary biliary cirrhosis and metastatic carcinoma of the liver.</w:t>
      </w:r>
      <w:r>
        <w:rPr>
          <w:rFonts w:ascii="ArialNarrowMTStd" w:hAnsi="ArialNarrowMTStd" w:cs="ArialNarrowMTStd"/>
          <w:vertAlign w:val="superscript"/>
        </w:rPr>
        <w:t>20</w:t>
      </w:r>
    </w:p>
    <w:p w14:paraId="0C189BF6" w14:textId="77777777" w:rsidR="00652F9A" w:rsidRDefault="00652F9A" w:rsidP="00652F9A">
      <w:pPr>
        <w:pStyle w:val="BodyCopy"/>
        <w:rPr>
          <w:rFonts w:ascii="ArialNarrowMTStd" w:hAnsi="ArialNarrowMTStd" w:cs="ArialNarrowMTStd"/>
        </w:rPr>
      </w:pPr>
      <w:r>
        <w:rPr>
          <w:rFonts w:ascii="ArialNarrowMTStd-Bold" w:hAnsi="ArialNarrowMTStd-Bold" w:cs="ArialNarrowMTStd-Bold"/>
          <w:b/>
          <w:bCs/>
        </w:rPr>
        <w:t>MACROHEPATIC ISOENZYME:</w:t>
      </w:r>
      <w:r>
        <w:rPr>
          <w:rFonts w:ascii="ArialNarrowMTStd" w:hAnsi="ArialNarrowMTStd" w:cs="ArialNarrowMTStd"/>
          <w:vertAlign w:val="superscript"/>
        </w:rPr>
        <w:t>11</w:t>
      </w:r>
      <w:r>
        <w:rPr>
          <w:rFonts w:ascii="ArialNarrowMTStd" w:hAnsi="ArialNarrowMTStd" w:cs="ArialNarrowMTStd"/>
        </w:rPr>
        <w:t xml:space="preserve"> </w:t>
      </w:r>
      <w:proofErr w:type="spellStart"/>
      <w:r>
        <w:rPr>
          <w:rFonts w:ascii="ArialNarrowMTStd" w:hAnsi="ArialNarrowMTStd" w:cs="ArialNarrowMTStd"/>
        </w:rPr>
        <w:t>Macrohepatic</w:t>
      </w:r>
      <w:proofErr w:type="spellEnd"/>
      <w:r>
        <w:rPr>
          <w:rFonts w:ascii="ArialNarrowMTStd" w:hAnsi="ArialNarrowMTStd" w:cs="ArialNarrowMTStd"/>
        </w:rPr>
        <w:t xml:space="preserve"> ALP has been isolated in cases of metastatic carcinoma to the liver and has been suggested as a diagnostic tool in identifying such cases. It has also been isolated in patients with viral hepatitis, alcoholic cirrhosis and other liver diseases. Data generated in a study by </w:t>
      </w:r>
      <w:proofErr w:type="spellStart"/>
      <w:r>
        <w:rPr>
          <w:rFonts w:ascii="ArialNarrowMTStd" w:hAnsi="ArialNarrowMTStd" w:cs="ArialNarrowMTStd"/>
        </w:rPr>
        <w:t>Viot</w:t>
      </w:r>
      <w:proofErr w:type="spellEnd"/>
      <w:r>
        <w:rPr>
          <w:rFonts w:ascii="ArialNarrowMTStd" w:hAnsi="ArialNarrowMTStd" w:cs="ArialNarrowMTStd"/>
        </w:rPr>
        <w:t xml:space="preserve"> and his associates</w:t>
      </w:r>
      <w:r>
        <w:rPr>
          <w:rFonts w:ascii="ArialNarrowMTStd" w:hAnsi="ArialNarrowMTStd" w:cs="ArialNarrowMTStd"/>
          <w:vertAlign w:val="superscript"/>
        </w:rPr>
        <w:t xml:space="preserve">11 </w:t>
      </w:r>
      <w:r>
        <w:rPr>
          <w:rFonts w:ascii="ArialNarrowMTStd" w:hAnsi="ArialNarrowMTStd" w:cs="ArialNarrowMTStd"/>
        </w:rPr>
        <w:t xml:space="preserve">suggest that hepatic ALP is highly correlated with the presence of liver metastases and that the presence of this isoenzyme could be predictive of the appearance of liver metastases. </w:t>
      </w:r>
      <w:proofErr w:type="spellStart"/>
      <w:r>
        <w:rPr>
          <w:rFonts w:ascii="ArialNarrowMTStd" w:hAnsi="ArialNarrowMTStd" w:cs="ArialNarrowMTStd"/>
        </w:rPr>
        <w:t>Viot</w:t>
      </w:r>
      <w:proofErr w:type="spellEnd"/>
      <w:r>
        <w:rPr>
          <w:rFonts w:ascii="ArialNarrowMTStd" w:hAnsi="ArialNarrowMTStd" w:cs="ArialNarrowMTStd"/>
        </w:rPr>
        <w:t xml:space="preserve"> also reports that </w:t>
      </w:r>
      <w:proofErr w:type="spellStart"/>
      <w:r>
        <w:rPr>
          <w:rFonts w:ascii="ArialNarrowMTStd" w:hAnsi="ArialNarrowMTStd" w:cs="ArialNarrowMTStd"/>
        </w:rPr>
        <w:t>macrohepatic</w:t>
      </w:r>
      <w:proofErr w:type="spellEnd"/>
      <w:r>
        <w:rPr>
          <w:rFonts w:ascii="ArialNarrowMTStd" w:hAnsi="ArialNarrowMTStd" w:cs="ArialNarrowMTStd"/>
        </w:rPr>
        <w:t xml:space="preserve"> ALP is seen occasionally in patients free of any disease state.</w:t>
      </w:r>
      <w:r>
        <w:rPr>
          <w:rFonts w:ascii="ArialNarrowMTStd" w:hAnsi="ArialNarrowMTStd" w:cs="ArialNarrowMTStd"/>
          <w:vertAlign w:val="superscript"/>
        </w:rPr>
        <w:t>11</w:t>
      </w:r>
    </w:p>
    <w:p w14:paraId="2723EEAE" w14:textId="77777777" w:rsidR="00652F9A" w:rsidRDefault="00652F9A" w:rsidP="00652F9A">
      <w:pPr>
        <w:pStyle w:val="BodyCopy"/>
        <w:rPr>
          <w:rFonts w:ascii="ArialNarrowMTStd" w:hAnsi="ArialNarrowMTStd" w:cs="ArialNarrowMTStd"/>
        </w:rPr>
      </w:pPr>
      <w:r>
        <w:rPr>
          <w:rFonts w:ascii="ArialNarrowMTStd-Bold" w:hAnsi="ArialNarrowMTStd-Bold" w:cs="ArialNarrowMTStd-Bold"/>
          <w:b/>
          <w:bCs/>
        </w:rPr>
        <w:t>BONE ISOENZYME:</w:t>
      </w:r>
      <w:r>
        <w:rPr>
          <w:rFonts w:ascii="ArialNarrowMTStd" w:hAnsi="ArialNarrowMTStd" w:cs="ArialNarrowMTStd"/>
        </w:rPr>
        <w:t xml:space="preserve"> This isoenzyme is elevated as a result of increased osteoblastic activity. It is normally elevated in growing children and adults over the age of fifty. The highest total ALP values have been attributed to an increased bone isoenzyme level due to Paget’s disease or renal rickets.</w:t>
      </w:r>
      <w:r>
        <w:rPr>
          <w:rFonts w:ascii="ArialNarrowMTStd" w:hAnsi="ArialNarrowMTStd" w:cs="ArialNarrowMTStd"/>
          <w:vertAlign w:val="superscript"/>
        </w:rPr>
        <w:t xml:space="preserve">24 </w:t>
      </w:r>
      <w:r>
        <w:rPr>
          <w:rFonts w:ascii="ArialNarrowMTStd" w:hAnsi="ArialNarrowMTStd" w:cs="ArialNarrowMTStd"/>
        </w:rPr>
        <w:t xml:space="preserve">An abnormally high bone isoenzyme level may also be indicative of bone cancer, </w:t>
      </w:r>
      <w:proofErr w:type="spellStart"/>
      <w:r>
        <w:rPr>
          <w:rFonts w:ascii="ArialNarrowMTStd" w:hAnsi="ArialNarrowMTStd" w:cs="ArialNarrowMTStd"/>
        </w:rPr>
        <w:t>osteomalacia</w:t>
      </w:r>
      <w:proofErr w:type="spellEnd"/>
      <w:r>
        <w:rPr>
          <w:rFonts w:ascii="ArialNarrowMTStd" w:hAnsi="ArialNarrowMTStd" w:cs="ArialNarrowMTStd"/>
        </w:rPr>
        <w:t xml:space="preserve"> or coeliac sprue.</w:t>
      </w:r>
      <w:r>
        <w:rPr>
          <w:rFonts w:ascii="ArialNarrowMTStd" w:hAnsi="ArialNarrowMTStd" w:cs="ArialNarrowMTStd"/>
          <w:vertAlign w:val="superscript"/>
        </w:rPr>
        <w:t xml:space="preserve">20 </w:t>
      </w:r>
      <w:r>
        <w:rPr>
          <w:rFonts w:ascii="ArialNarrowMTStd" w:hAnsi="ArialNarrowMTStd" w:cs="ArialNarrowMTStd"/>
        </w:rPr>
        <w:t xml:space="preserve">A decreased bone ALP in children may be attributed to cretinism or to </w:t>
      </w:r>
      <w:proofErr w:type="spellStart"/>
      <w:r>
        <w:rPr>
          <w:rFonts w:ascii="ArialNarrowMTStd" w:hAnsi="ArialNarrowMTStd" w:cs="ArialNarrowMTStd"/>
        </w:rPr>
        <w:t>hypophosphatasia</w:t>
      </w:r>
      <w:proofErr w:type="spellEnd"/>
      <w:r>
        <w:rPr>
          <w:rFonts w:ascii="ArialNarrowMTStd" w:hAnsi="ArialNarrowMTStd" w:cs="ArialNarrowMTStd"/>
        </w:rPr>
        <w:t>.</w:t>
      </w:r>
    </w:p>
    <w:p w14:paraId="28885989" w14:textId="77777777" w:rsidR="00652F9A" w:rsidRDefault="00652F9A" w:rsidP="00652F9A">
      <w:pPr>
        <w:pStyle w:val="BodyCopy"/>
        <w:rPr>
          <w:rFonts w:ascii="ArialNarrowMTStd" w:hAnsi="ArialNarrowMTStd" w:cs="ArialNarrowMTStd"/>
          <w:vertAlign w:val="superscript"/>
        </w:rPr>
      </w:pPr>
      <w:r>
        <w:rPr>
          <w:rFonts w:ascii="ArialNarrowMTStd-Bold" w:hAnsi="ArialNarrowMTStd-Bold" w:cs="ArialNarrowMTStd-Bold"/>
          <w:b/>
          <w:bCs/>
        </w:rPr>
        <w:t>INTESTINE ISOENZYME:</w:t>
      </w:r>
      <w:r>
        <w:rPr>
          <w:rFonts w:ascii="ArialNarrowMTStd" w:hAnsi="ArialNarrowMTStd" w:cs="ArialNarrowMTStd"/>
        </w:rPr>
        <w:t xml:space="preserve"> The intestinal band is detectable in about 20% of serum samples tested. The level is usually &lt; 20% of the total alkaline phosphatase.</w:t>
      </w:r>
      <w:r>
        <w:rPr>
          <w:rFonts w:ascii="ArialNarrowMTStd" w:hAnsi="ArialNarrowMTStd" w:cs="ArialNarrowMTStd"/>
          <w:vertAlign w:val="superscript"/>
        </w:rPr>
        <w:t>26</w:t>
      </w:r>
      <w:r>
        <w:rPr>
          <w:rFonts w:ascii="ArialNarrowMTStd" w:hAnsi="ArialNarrowMTStd" w:cs="ArialNarrowMTStd"/>
        </w:rPr>
        <w:t xml:space="preserve"> The intestinal band is most frequently noted in patients with blood groups O and B who are secretors of the H-blood group substance. It is elevated in these patients </w:t>
      </w:r>
      <w:proofErr w:type="spellStart"/>
      <w:r>
        <w:rPr>
          <w:rFonts w:ascii="ArialNarrowMTStd" w:hAnsi="ArialNarrowMTStd" w:cs="ArialNarrowMTStd"/>
        </w:rPr>
        <w:t>postprandially</w:t>
      </w:r>
      <w:proofErr w:type="spellEnd"/>
      <w:r>
        <w:rPr>
          <w:rFonts w:ascii="ArialNarrowMTStd" w:hAnsi="ArialNarrowMTStd" w:cs="ArialNarrowMTStd"/>
        </w:rPr>
        <w:t xml:space="preserve"> and after a fatty meal.</w:t>
      </w:r>
      <w:r>
        <w:rPr>
          <w:rFonts w:ascii="ArialNarrowMTStd" w:hAnsi="ArialNarrowMTStd" w:cs="ArialNarrowMTStd"/>
          <w:vertAlign w:val="superscript"/>
        </w:rPr>
        <w:t xml:space="preserve">26 </w:t>
      </w:r>
      <w:r>
        <w:rPr>
          <w:rFonts w:ascii="ArialNarrowMTStd" w:hAnsi="ArialNarrowMTStd" w:cs="ArialNarrowMTStd"/>
        </w:rPr>
        <w:t>Additionally, the intestinal band is found in disease states such as cirrhosis of the liver, malignancy, diabetes and chronic renal failure.</w:t>
      </w:r>
      <w:r>
        <w:rPr>
          <w:rFonts w:ascii="ArialNarrowMTStd" w:hAnsi="ArialNarrowMTStd" w:cs="ArialNarrowMTStd"/>
          <w:vertAlign w:val="superscript"/>
        </w:rPr>
        <w:t>26,27</w:t>
      </w:r>
    </w:p>
    <w:p w14:paraId="11DFABD2" w14:textId="77777777" w:rsidR="00652F9A" w:rsidRDefault="00652F9A" w:rsidP="00652F9A">
      <w:pPr>
        <w:pStyle w:val="BodyCopy"/>
        <w:rPr>
          <w:rFonts w:ascii="ArialNarrowMTStd" w:hAnsi="ArialNarrowMTStd" w:cs="ArialNarrowMTStd"/>
        </w:rPr>
      </w:pPr>
      <w:r>
        <w:rPr>
          <w:rFonts w:ascii="ArialNarrowMTStd-Bold" w:hAnsi="ArialNarrowMTStd-Bold" w:cs="ArialNarrowMTStd-Bold"/>
          <w:b/>
          <w:bCs/>
        </w:rPr>
        <w:t>PLACENTAL ISOENZYME:</w:t>
      </w:r>
      <w:r>
        <w:rPr>
          <w:rFonts w:ascii="ArialNarrowMTStd" w:hAnsi="ArialNarrowMTStd" w:cs="ArialNarrowMTStd"/>
          <w:vertAlign w:val="superscript"/>
        </w:rPr>
        <w:t>25</w:t>
      </w:r>
      <w:r>
        <w:rPr>
          <w:rFonts w:ascii="ArialNarrowMTStd" w:hAnsi="ArialNarrowMTStd" w:cs="ArialNarrowMTStd"/>
        </w:rPr>
        <w:t xml:space="preserve"> During pregnancy, most of the major serum enzyme concentrations remain unchanged. However, alkaline phosphatase increases during the later stages of pregnancy. A progressive rise begins about 32 to 34 </w:t>
      </w:r>
      <w:proofErr w:type="spellStart"/>
      <w:proofErr w:type="gramStart"/>
      <w:r>
        <w:rPr>
          <w:rFonts w:ascii="ArialNarrowMTStd" w:hAnsi="ArialNarrowMTStd" w:cs="ArialNarrowMTStd"/>
        </w:rPr>
        <w:t>weeks</w:t>
      </w:r>
      <w:proofErr w:type="spellEnd"/>
      <w:proofErr w:type="gramEnd"/>
      <w:r>
        <w:rPr>
          <w:rFonts w:ascii="ArialNarrowMTStd" w:hAnsi="ArialNarrowMTStd" w:cs="ArialNarrowMTStd"/>
        </w:rPr>
        <w:t xml:space="preserve"> gestation, with relatively inconsistent values prior to that. The isoenzyme is heat stable and readily identifiable in the lab. If the heat stable isoenzyme value is low, the prognosis for the fetus is ominous. Little information is gained if the value falls within the normal range.</w:t>
      </w:r>
    </w:p>
    <w:p w14:paraId="4CCF62F7" w14:textId="77777777" w:rsidR="00652F9A" w:rsidRDefault="00652F9A" w:rsidP="00652F9A">
      <w:pPr>
        <w:pStyle w:val="Header"/>
        <w:rPr>
          <w:rFonts w:ascii="ArialNarrowMTStd" w:hAnsi="ArialNarrowMTStd" w:cs="ArialNarrowMTStd"/>
          <w:b w:val="0"/>
          <w:bCs w:val="0"/>
        </w:rPr>
      </w:pPr>
      <w:r>
        <w:rPr>
          <w:rFonts w:ascii="ArialNarrowMTStd" w:hAnsi="ArialNarrowMTStd" w:cs="ArialNarrowMTStd"/>
          <w:b w:val="0"/>
          <w:bCs w:val="0"/>
        </w:rPr>
        <w:t>PERFORMANCE CHARACTERISTICS</w:t>
      </w:r>
    </w:p>
    <w:p w14:paraId="4B14891A" w14:textId="77777777" w:rsidR="00652F9A" w:rsidRDefault="00652F9A" w:rsidP="00652F9A">
      <w:pPr>
        <w:pStyle w:val="BodyCopy"/>
        <w:rPr>
          <w:rFonts w:ascii="ArialNarrowMTStd-Bold" w:hAnsi="ArialNarrowMTStd-Bold" w:cs="ArialNarrowMTStd-Bold"/>
          <w:b/>
          <w:bCs/>
        </w:rPr>
      </w:pPr>
      <w:r>
        <w:rPr>
          <w:rFonts w:ascii="ArialNarrowMTStd-Bold" w:hAnsi="ArialNarrowMTStd-Bold" w:cs="ArialNarrowMTStd-Bold"/>
          <w:b/>
          <w:bCs/>
        </w:rPr>
        <w:t>PRECISION</w:t>
      </w:r>
    </w:p>
    <w:p w14:paraId="6DDC8F72" w14:textId="77777777" w:rsidR="00652F9A" w:rsidRDefault="00652F9A" w:rsidP="00652F9A">
      <w:pPr>
        <w:pStyle w:val="BodyCopy"/>
        <w:tabs>
          <w:tab w:val="clear" w:pos="220"/>
          <w:tab w:val="clear" w:pos="440"/>
          <w:tab w:val="clear" w:pos="640"/>
          <w:tab w:val="clear" w:pos="840"/>
          <w:tab w:val="left" w:pos="1028"/>
          <w:tab w:val="left" w:pos="2033"/>
          <w:tab w:val="left" w:pos="3060"/>
          <w:tab w:val="left" w:pos="3848"/>
        </w:tabs>
        <w:rPr>
          <w:rFonts w:ascii="ArialNarrowMTStd" w:hAnsi="ArialNarrowMTStd" w:cs="ArialNarrowMTStd"/>
        </w:rPr>
      </w:pPr>
      <w:r>
        <w:rPr>
          <w:rFonts w:ascii="ArialNarrowMTStd" w:hAnsi="ArialNarrowMTStd" w:cs="ArialNarrowMTStd"/>
        </w:rPr>
        <w:t>Within Run: A specimen was run in replicate on one gel.</w:t>
      </w:r>
    </w:p>
    <w:p w14:paraId="417802EC" w14:textId="77777777" w:rsidR="00652F9A" w:rsidRDefault="00652F9A" w:rsidP="00652F9A">
      <w:pPr>
        <w:pStyle w:val="BodyCopy"/>
        <w:tabs>
          <w:tab w:val="clear" w:pos="220"/>
          <w:tab w:val="clear" w:pos="440"/>
          <w:tab w:val="clear" w:pos="640"/>
          <w:tab w:val="clear" w:pos="840"/>
          <w:tab w:val="left" w:pos="1028"/>
          <w:tab w:val="left" w:pos="2033"/>
          <w:tab w:val="left" w:pos="3060"/>
          <w:tab w:val="left" w:pos="3848"/>
        </w:tabs>
        <w:rPr>
          <w:rFonts w:ascii="ArialNarrowMTStd" w:hAnsi="ArialNarrowMTStd" w:cs="ArialNarrowMTStd"/>
        </w:rPr>
      </w:pPr>
      <w:r>
        <w:rPr>
          <w:rFonts w:ascii="ArialNarrowMTStd" w:hAnsi="ArialNarrowMTStd" w:cs="ArialNarrowMTStd"/>
        </w:rPr>
        <w:t xml:space="preserve">N = 14 </w:t>
      </w:r>
    </w:p>
    <w:p w14:paraId="3414F0FA" w14:textId="77777777" w:rsidR="00652F9A" w:rsidRDefault="00652F9A" w:rsidP="00652F9A">
      <w:pPr>
        <w:pStyle w:val="BodyCopy"/>
        <w:tabs>
          <w:tab w:val="clear" w:pos="220"/>
          <w:tab w:val="clear" w:pos="440"/>
          <w:tab w:val="clear" w:pos="640"/>
          <w:tab w:val="clear" w:pos="840"/>
          <w:tab w:val="left" w:pos="880"/>
          <w:tab w:val="left" w:pos="1840"/>
          <w:tab w:val="left" w:pos="2720"/>
          <w:tab w:val="left" w:pos="3520"/>
        </w: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t xml:space="preserve">  </w:t>
      </w:r>
      <w:r>
        <w:rPr>
          <w:rStyle w:val="CharacterStyle2"/>
        </w:rPr>
        <w:t>X</w:t>
      </w:r>
      <w:r>
        <w:rPr>
          <w:rFonts w:ascii="ArialNarrowMTStd" w:hAnsi="ArialNarrowMTStd" w:cs="ArialNarrowMTStd"/>
        </w:rPr>
        <w:tab/>
        <w:t xml:space="preserve">SD </w:t>
      </w:r>
      <w:r>
        <w:rPr>
          <w:rFonts w:ascii="ArialNarrowMTStd" w:hAnsi="ArialNarrowMTStd" w:cs="ArialNarrowMTStd"/>
        </w:rPr>
        <w:tab/>
        <w:t>CV%</w:t>
      </w:r>
    </w:p>
    <w:p w14:paraId="226D671C" w14:textId="77777777" w:rsidR="00652F9A" w:rsidRDefault="00652F9A" w:rsidP="00652F9A">
      <w:pPr>
        <w:pStyle w:val="BodyCopy"/>
        <w:tabs>
          <w:tab w:val="clear" w:pos="220"/>
          <w:tab w:val="clear" w:pos="440"/>
          <w:tab w:val="clear" w:pos="640"/>
          <w:tab w:val="clear" w:pos="840"/>
          <w:tab w:val="left" w:pos="880"/>
          <w:tab w:val="left" w:pos="1840"/>
          <w:tab w:val="left" w:pos="2720"/>
          <w:tab w:val="left" w:pos="3520"/>
        </w:tabs>
        <w:rPr>
          <w:rFonts w:ascii="ArialNarrowMTStd" w:hAnsi="ArialNarrowMTStd" w:cs="ArialNarrowMTStd"/>
        </w:rPr>
      </w:pPr>
      <w:r>
        <w:rPr>
          <w:rFonts w:ascii="ArialNarrowMTStd" w:hAnsi="ArialNarrowMTStd" w:cs="ArialNarrowMTStd"/>
        </w:rPr>
        <w:tab/>
        <w:t xml:space="preserve">%Liver </w:t>
      </w:r>
      <w:r>
        <w:rPr>
          <w:rFonts w:ascii="ArialNarrowMTStd" w:hAnsi="ArialNarrowMTStd" w:cs="ArialNarrowMTStd"/>
        </w:rPr>
        <w:tab/>
        <w:t xml:space="preserve">54.3 </w:t>
      </w:r>
      <w:r>
        <w:rPr>
          <w:rFonts w:ascii="ArialNarrowMTStd" w:hAnsi="ArialNarrowMTStd" w:cs="ArialNarrowMTStd"/>
        </w:rPr>
        <w:tab/>
        <w:t xml:space="preserve">1.3 </w:t>
      </w:r>
      <w:r>
        <w:rPr>
          <w:rFonts w:ascii="ArialNarrowMTStd" w:hAnsi="ArialNarrowMTStd" w:cs="ArialNarrowMTStd"/>
        </w:rPr>
        <w:tab/>
        <w:t>2.3</w:t>
      </w:r>
    </w:p>
    <w:p w14:paraId="5A19712A" w14:textId="77777777" w:rsidR="00652F9A" w:rsidRDefault="00652F9A" w:rsidP="00652F9A">
      <w:pPr>
        <w:pStyle w:val="BodyCopy"/>
        <w:tabs>
          <w:tab w:val="clear" w:pos="220"/>
          <w:tab w:val="clear" w:pos="440"/>
          <w:tab w:val="clear" w:pos="640"/>
          <w:tab w:val="clear" w:pos="840"/>
          <w:tab w:val="left" w:pos="880"/>
          <w:tab w:val="left" w:pos="1840"/>
          <w:tab w:val="left" w:pos="2720"/>
          <w:tab w:val="left" w:pos="3520"/>
        </w:tabs>
        <w:rPr>
          <w:rFonts w:ascii="ArialNarrowMTStd" w:hAnsi="ArialNarrowMTStd" w:cs="ArialNarrowMTStd"/>
        </w:rPr>
      </w:pPr>
      <w:r>
        <w:rPr>
          <w:rFonts w:ascii="ArialNarrowMTStd" w:hAnsi="ArialNarrowMTStd" w:cs="ArialNarrowMTStd"/>
        </w:rPr>
        <w:tab/>
        <w:t xml:space="preserve">%Bone </w:t>
      </w:r>
      <w:r>
        <w:rPr>
          <w:rFonts w:ascii="ArialNarrowMTStd" w:hAnsi="ArialNarrowMTStd" w:cs="ArialNarrowMTStd"/>
        </w:rPr>
        <w:tab/>
        <w:t xml:space="preserve">45.7 </w:t>
      </w:r>
      <w:r>
        <w:rPr>
          <w:rFonts w:ascii="ArialNarrowMTStd" w:hAnsi="ArialNarrowMTStd" w:cs="ArialNarrowMTStd"/>
        </w:rPr>
        <w:tab/>
        <w:t xml:space="preserve">1.3 </w:t>
      </w:r>
      <w:r>
        <w:rPr>
          <w:rFonts w:ascii="ArialNarrowMTStd" w:hAnsi="ArialNarrowMTStd" w:cs="ArialNarrowMTStd"/>
        </w:rPr>
        <w:tab/>
        <w:t>2.8</w:t>
      </w:r>
    </w:p>
    <w:p w14:paraId="1D1749DA" w14:textId="77777777" w:rsidR="00652F9A" w:rsidRDefault="00652F9A" w:rsidP="00652F9A">
      <w:pPr>
        <w:pStyle w:val="BodyCopy"/>
        <w:tabs>
          <w:tab w:val="clear" w:pos="220"/>
          <w:tab w:val="clear" w:pos="440"/>
          <w:tab w:val="clear" w:pos="640"/>
          <w:tab w:val="clear" w:pos="840"/>
          <w:tab w:val="left" w:pos="880"/>
          <w:tab w:val="left" w:pos="1840"/>
          <w:tab w:val="left" w:pos="2720"/>
          <w:tab w:val="left" w:pos="3520"/>
        </w:tabs>
        <w:rPr>
          <w:rFonts w:ascii="ArialNarrowMTStd" w:hAnsi="ArialNarrowMTStd" w:cs="ArialNarrowMTStd"/>
        </w:rPr>
      </w:pPr>
      <w:r>
        <w:rPr>
          <w:rFonts w:ascii="ArialNarrowMTStd" w:hAnsi="ArialNarrowMTStd" w:cs="ArialNarrowMTStd"/>
        </w:rPr>
        <w:t>Run to Run: A specimen was run in replicate on nine (9) gels.</w:t>
      </w:r>
    </w:p>
    <w:p w14:paraId="2178F1C2" w14:textId="77777777" w:rsidR="00652F9A" w:rsidRDefault="00652F9A" w:rsidP="00652F9A">
      <w:pPr>
        <w:pStyle w:val="BodyCopy"/>
        <w:tabs>
          <w:tab w:val="clear" w:pos="220"/>
          <w:tab w:val="clear" w:pos="440"/>
          <w:tab w:val="clear" w:pos="640"/>
          <w:tab w:val="clear" w:pos="840"/>
          <w:tab w:val="left" w:pos="880"/>
          <w:tab w:val="left" w:pos="1840"/>
          <w:tab w:val="left" w:pos="2720"/>
          <w:tab w:val="left" w:pos="3520"/>
        </w:tabs>
        <w:rPr>
          <w:rFonts w:ascii="ArialNarrowMTStd" w:hAnsi="ArialNarrowMTStd" w:cs="ArialNarrowMTStd"/>
        </w:rPr>
      </w:pPr>
      <w:r>
        <w:rPr>
          <w:rFonts w:ascii="ArialNarrowMTStd" w:hAnsi="ArialNarrowMTStd" w:cs="ArialNarrowMTStd"/>
        </w:rPr>
        <w:t xml:space="preserve">N = 126 </w:t>
      </w:r>
    </w:p>
    <w:p w14:paraId="37DF76D8" w14:textId="77777777" w:rsidR="00652F9A" w:rsidRDefault="00652F9A" w:rsidP="00652F9A">
      <w:pPr>
        <w:pStyle w:val="BodyCopy"/>
        <w:tabs>
          <w:tab w:val="clear" w:pos="220"/>
          <w:tab w:val="clear" w:pos="440"/>
          <w:tab w:val="clear" w:pos="640"/>
          <w:tab w:val="clear" w:pos="840"/>
          <w:tab w:val="left" w:pos="880"/>
          <w:tab w:val="left" w:pos="1840"/>
          <w:tab w:val="left" w:pos="2720"/>
          <w:tab w:val="left" w:pos="3520"/>
        </w:tabs>
        <w:rPr>
          <w:rFonts w:ascii="ArialNarrowMTStd" w:hAnsi="ArialNarrowMTStd" w:cs="ArialNarrowMTStd"/>
        </w:rPr>
      </w:pPr>
      <w:r>
        <w:rPr>
          <w:rFonts w:ascii="ArialNarrowMTStd" w:hAnsi="ArialNarrowMTStd" w:cs="ArialNarrowMTStd"/>
        </w:rPr>
        <w:tab/>
      </w:r>
      <w:r>
        <w:rPr>
          <w:rFonts w:ascii="ArialNarrowMTStd" w:hAnsi="ArialNarrowMTStd" w:cs="ArialNarrowMTStd"/>
        </w:rPr>
        <w:tab/>
        <w:t xml:space="preserve">  </w:t>
      </w:r>
      <w:r>
        <w:rPr>
          <w:rStyle w:val="CharacterStyle2"/>
        </w:rPr>
        <w:t>X</w:t>
      </w:r>
      <w:r>
        <w:rPr>
          <w:rFonts w:ascii="ArialNarrowMTStd" w:hAnsi="ArialNarrowMTStd" w:cs="ArialNarrowMTStd"/>
        </w:rPr>
        <w:tab/>
        <w:t xml:space="preserve">SD </w:t>
      </w:r>
      <w:r>
        <w:rPr>
          <w:rFonts w:ascii="ArialNarrowMTStd" w:hAnsi="ArialNarrowMTStd" w:cs="ArialNarrowMTStd"/>
        </w:rPr>
        <w:tab/>
        <w:t>CV%</w:t>
      </w:r>
    </w:p>
    <w:p w14:paraId="12DF0E5E" w14:textId="77777777" w:rsidR="00652F9A" w:rsidRDefault="00652F9A" w:rsidP="00652F9A">
      <w:pPr>
        <w:pStyle w:val="BodyCopy"/>
        <w:tabs>
          <w:tab w:val="clear" w:pos="220"/>
          <w:tab w:val="clear" w:pos="440"/>
          <w:tab w:val="clear" w:pos="640"/>
          <w:tab w:val="clear" w:pos="840"/>
          <w:tab w:val="left" w:pos="880"/>
          <w:tab w:val="left" w:pos="1840"/>
          <w:tab w:val="left" w:pos="2720"/>
          <w:tab w:val="left" w:pos="3520"/>
        </w:tabs>
        <w:rPr>
          <w:rFonts w:ascii="ArialNarrowMTStd" w:hAnsi="ArialNarrowMTStd" w:cs="ArialNarrowMTStd"/>
        </w:rPr>
      </w:pPr>
      <w:r>
        <w:rPr>
          <w:rFonts w:ascii="ArialNarrowMTStd" w:hAnsi="ArialNarrowMTStd" w:cs="ArialNarrowMTStd"/>
        </w:rPr>
        <w:tab/>
        <w:t xml:space="preserve">%Liver </w:t>
      </w:r>
      <w:r>
        <w:rPr>
          <w:rFonts w:ascii="ArialNarrowMTStd" w:hAnsi="ArialNarrowMTStd" w:cs="ArialNarrowMTStd"/>
        </w:rPr>
        <w:tab/>
        <w:t xml:space="preserve">54.4 </w:t>
      </w:r>
      <w:r>
        <w:rPr>
          <w:rFonts w:ascii="ArialNarrowMTStd" w:hAnsi="ArialNarrowMTStd" w:cs="ArialNarrowMTStd"/>
        </w:rPr>
        <w:tab/>
        <w:t xml:space="preserve">2.7 </w:t>
      </w:r>
      <w:r>
        <w:rPr>
          <w:rFonts w:ascii="ArialNarrowMTStd" w:hAnsi="ArialNarrowMTStd" w:cs="ArialNarrowMTStd"/>
        </w:rPr>
        <w:tab/>
        <w:t>4.9</w:t>
      </w:r>
    </w:p>
    <w:p w14:paraId="1236F415" w14:textId="77777777" w:rsidR="00652F9A" w:rsidRDefault="00652F9A" w:rsidP="00652F9A">
      <w:pPr>
        <w:pStyle w:val="BodyCopy"/>
        <w:tabs>
          <w:tab w:val="clear" w:pos="220"/>
          <w:tab w:val="clear" w:pos="440"/>
          <w:tab w:val="clear" w:pos="640"/>
          <w:tab w:val="clear" w:pos="840"/>
          <w:tab w:val="left" w:pos="880"/>
          <w:tab w:val="left" w:pos="1840"/>
          <w:tab w:val="left" w:pos="2720"/>
          <w:tab w:val="left" w:pos="3520"/>
        </w:tabs>
        <w:rPr>
          <w:rFonts w:ascii="ArialNarrowMTStd" w:hAnsi="ArialNarrowMTStd" w:cs="ArialNarrowMTStd"/>
        </w:rPr>
      </w:pPr>
      <w:r>
        <w:rPr>
          <w:rFonts w:ascii="ArialNarrowMTStd" w:hAnsi="ArialNarrowMTStd" w:cs="ArialNarrowMTStd"/>
        </w:rPr>
        <w:tab/>
        <w:t xml:space="preserve">%Bone </w:t>
      </w:r>
      <w:r>
        <w:rPr>
          <w:rFonts w:ascii="ArialNarrowMTStd" w:hAnsi="ArialNarrowMTStd" w:cs="ArialNarrowMTStd"/>
        </w:rPr>
        <w:tab/>
        <w:t xml:space="preserve">45.6 </w:t>
      </w:r>
      <w:r>
        <w:rPr>
          <w:rFonts w:ascii="ArialNarrowMTStd" w:hAnsi="ArialNarrowMTStd" w:cs="ArialNarrowMTStd"/>
        </w:rPr>
        <w:tab/>
        <w:t xml:space="preserve">2.7 </w:t>
      </w:r>
      <w:r>
        <w:rPr>
          <w:rFonts w:ascii="ArialNarrowMTStd" w:hAnsi="ArialNarrowMTStd" w:cs="ArialNarrowMTStd"/>
        </w:rPr>
        <w:tab/>
        <w:t>5.9</w:t>
      </w:r>
    </w:p>
    <w:p w14:paraId="613E8B7D" w14:textId="77777777" w:rsidR="00652F9A" w:rsidRDefault="00652F9A" w:rsidP="00652F9A">
      <w:pPr>
        <w:pStyle w:val="Bodycopybold"/>
        <w:rPr>
          <w:rFonts w:ascii="ArialNarrowMTStd-Bold" w:hAnsi="ArialNarrowMTStd-Bold" w:cs="ArialNarrowMTStd-Bold"/>
        </w:rPr>
      </w:pPr>
      <w:r>
        <w:rPr>
          <w:rFonts w:ascii="ArialNarrowMTStd-Bold" w:hAnsi="ArialNarrowMTStd-Bold" w:cs="ArialNarrowMTStd-Bold"/>
        </w:rPr>
        <w:t>CORRELATION:</w:t>
      </w:r>
    </w:p>
    <w:p w14:paraId="377A2DA7" w14:textId="77777777" w:rsidR="00652F9A" w:rsidRDefault="00652F9A" w:rsidP="00652F9A">
      <w:pPr>
        <w:pStyle w:val="BodyCopy"/>
        <w:rPr>
          <w:rFonts w:ascii="ArialNarrowMTStd" w:hAnsi="ArialNarrowMTStd" w:cs="ArialNarrowMTStd"/>
        </w:rPr>
      </w:pPr>
      <w:r>
        <w:rPr>
          <w:rFonts w:ascii="ArialNarrowMTStd" w:hAnsi="ArialNarrowMTStd" w:cs="ArialNarrowMTStd"/>
        </w:rPr>
        <w:t>Studies were done using 34 normal and abnormal patient samples and controls comparing the SPIFE Alkaline Phosphatase method and the SPIFE Touch Alkaline Phosphatase method on the SPIFE Touch.</w:t>
      </w:r>
    </w:p>
    <w:p w14:paraId="65362114" w14:textId="77777777" w:rsidR="00652F9A" w:rsidRDefault="00652F9A" w:rsidP="00652F9A">
      <w:pPr>
        <w:pStyle w:val="BodyCopy"/>
        <w:tabs>
          <w:tab w:val="clear" w:pos="220"/>
          <w:tab w:val="clear" w:pos="440"/>
          <w:tab w:val="clear" w:pos="640"/>
          <w:tab w:val="clear" w:pos="840"/>
          <w:tab w:val="left" w:pos="194"/>
          <w:tab w:val="left" w:pos="360"/>
          <w:tab w:val="left" w:pos="1028"/>
          <w:tab w:val="left" w:pos="2033"/>
          <w:tab w:val="left" w:pos="3060"/>
          <w:tab w:val="left" w:pos="3848"/>
        </w:tabs>
        <w:rPr>
          <w:rFonts w:ascii="ArialNarrowMTStd" w:hAnsi="ArialNarrowMTStd" w:cs="ArialNarrowMTStd"/>
        </w:rPr>
      </w:pPr>
      <w:r>
        <w:rPr>
          <w:rFonts w:ascii="ArialNarrowMTStd" w:hAnsi="ArialNarrowMTStd" w:cs="ArialNarrowMTStd"/>
        </w:rPr>
        <w:t xml:space="preserve">N </w:t>
      </w:r>
      <w:r>
        <w:rPr>
          <w:rFonts w:ascii="ArialNarrowMTStd" w:hAnsi="ArialNarrowMTStd" w:cs="ArialNarrowMTStd"/>
        </w:rPr>
        <w:tab/>
        <w:t xml:space="preserve">= </w:t>
      </w:r>
      <w:r>
        <w:rPr>
          <w:rFonts w:ascii="ArialNarrowMTStd" w:hAnsi="ArialNarrowMTStd" w:cs="ArialNarrowMTStd"/>
        </w:rPr>
        <w:tab/>
        <w:t>36</w:t>
      </w:r>
    </w:p>
    <w:p w14:paraId="689FEC0E" w14:textId="77777777" w:rsidR="00652F9A" w:rsidRDefault="00652F9A" w:rsidP="00652F9A">
      <w:pPr>
        <w:pStyle w:val="BodyCopy"/>
        <w:tabs>
          <w:tab w:val="clear" w:pos="220"/>
          <w:tab w:val="clear" w:pos="440"/>
          <w:tab w:val="clear" w:pos="640"/>
          <w:tab w:val="clear" w:pos="840"/>
          <w:tab w:val="left" w:pos="194"/>
          <w:tab w:val="left" w:pos="360"/>
          <w:tab w:val="left" w:pos="1028"/>
          <w:tab w:val="left" w:pos="2033"/>
          <w:tab w:val="left" w:pos="3060"/>
          <w:tab w:val="left" w:pos="3848"/>
        </w:tabs>
        <w:rPr>
          <w:rFonts w:ascii="ArialNarrowMTStd" w:hAnsi="ArialNarrowMTStd" w:cs="ArialNarrowMTStd"/>
        </w:rPr>
      </w:pPr>
      <w:r>
        <w:rPr>
          <w:rFonts w:ascii="ArialNarrowMTStd" w:hAnsi="ArialNarrowMTStd" w:cs="ArialNarrowMTStd"/>
        </w:rPr>
        <w:t xml:space="preserve">Y </w:t>
      </w:r>
      <w:r>
        <w:rPr>
          <w:rFonts w:ascii="ArialNarrowMTStd" w:hAnsi="ArialNarrowMTStd" w:cs="ArialNarrowMTStd"/>
        </w:rPr>
        <w:tab/>
        <w:t xml:space="preserve">= </w:t>
      </w:r>
      <w:r>
        <w:rPr>
          <w:rFonts w:ascii="ArialNarrowMTStd" w:hAnsi="ArialNarrowMTStd" w:cs="ArialNarrowMTStd"/>
        </w:rPr>
        <w:tab/>
        <w:t>0.9632X - 1.2671</w:t>
      </w:r>
    </w:p>
    <w:p w14:paraId="5A2FD596" w14:textId="77777777" w:rsidR="00652F9A" w:rsidRDefault="00652F9A" w:rsidP="00652F9A">
      <w:pPr>
        <w:pStyle w:val="BodyCopy"/>
        <w:tabs>
          <w:tab w:val="clear" w:pos="220"/>
          <w:tab w:val="clear" w:pos="440"/>
          <w:tab w:val="clear" w:pos="640"/>
          <w:tab w:val="clear" w:pos="840"/>
          <w:tab w:val="left" w:pos="194"/>
          <w:tab w:val="left" w:pos="360"/>
          <w:tab w:val="left" w:pos="1028"/>
          <w:tab w:val="left" w:pos="2033"/>
          <w:tab w:val="left" w:pos="3060"/>
          <w:tab w:val="left" w:pos="3848"/>
        </w:tabs>
        <w:rPr>
          <w:rFonts w:ascii="ArialNarrowMTStd" w:hAnsi="ArialNarrowMTStd" w:cs="ArialNarrowMTStd"/>
        </w:rPr>
      </w:pPr>
      <w:r>
        <w:rPr>
          <w:rFonts w:ascii="ArialNarrowMTStd" w:hAnsi="ArialNarrowMTStd" w:cs="ArialNarrowMTStd"/>
        </w:rPr>
        <w:t xml:space="preserve">R </w:t>
      </w:r>
      <w:r>
        <w:rPr>
          <w:rFonts w:ascii="ArialNarrowMTStd" w:hAnsi="ArialNarrowMTStd" w:cs="ArialNarrowMTStd"/>
        </w:rPr>
        <w:tab/>
        <w:t xml:space="preserve">= </w:t>
      </w:r>
      <w:r>
        <w:rPr>
          <w:rFonts w:ascii="ArialNarrowMTStd" w:hAnsi="ArialNarrowMTStd" w:cs="ArialNarrowMTStd"/>
        </w:rPr>
        <w:tab/>
        <w:t>0.9958</w:t>
      </w:r>
    </w:p>
    <w:p w14:paraId="7821C909" w14:textId="77777777" w:rsidR="00652F9A" w:rsidRDefault="00652F9A" w:rsidP="00652F9A">
      <w:pPr>
        <w:pStyle w:val="BodyCopy"/>
        <w:tabs>
          <w:tab w:val="clear" w:pos="220"/>
          <w:tab w:val="clear" w:pos="440"/>
          <w:tab w:val="clear" w:pos="640"/>
          <w:tab w:val="clear" w:pos="840"/>
          <w:tab w:val="left" w:pos="194"/>
          <w:tab w:val="left" w:pos="360"/>
          <w:tab w:val="left" w:pos="1028"/>
          <w:tab w:val="left" w:pos="2033"/>
          <w:tab w:val="left" w:pos="3060"/>
          <w:tab w:val="left" w:pos="3848"/>
        </w:tabs>
        <w:rPr>
          <w:rFonts w:ascii="ArialNarrowMTStd" w:hAnsi="ArialNarrowMTStd" w:cs="ArialNarrowMTStd"/>
        </w:rPr>
      </w:pPr>
      <w:r>
        <w:rPr>
          <w:rFonts w:ascii="ArialNarrowMTStd" w:hAnsi="ArialNarrowMTStd" w:cs="ArialNarrowMTStd"/>
        </w:rPr>
        <w:t xml:space="preserve">X </w:t>
      </w:r>
      <w:r>
        <w:rPr>
          <w:rFonts w:ascii="ArialNarrowMTStd" w:hAnsi="ArialNarrowMTStd" w:cs="ArialNarrowMTStd"/>
        </w:rPr>
        <w:tab/>
        <w:t xml:space="preserve">= </w:t>
      </w:r>
      <w:r>
        <w:rPr>
          <w:rFonts w:ascii="ArialNarrowMTStd" w:hAnsi="ArialNarrowMTStd" w:cs="ArialNarrowMTStd"/>
        </w:rPr>
        <w:tab/>
        <w:t>SPIFE Alkaline Phosphatase on SPIFE 3000</w:t>
      </w:r>
    </w:p>
    <w:p w14:paraId="432A4D8A" w14:textId="77777777" w:rsidR="00652F9A" w:rsidRDefault="00652F9A" w:rsidP="00652F9A">
      <w:pPr>
        <w:pStyle w:val="BodyCopy"/>
        <w:tabs>
          <w:tab w:val="clear" w:pos="220"/>
          <w:tab w:val="clear" w:pos="440"/>
          <w:tab w:val="clear" w:pos="640"/>
          <w:tab w:val="clear" w:pos="840"/>
          <w:tab w:val="left" w:pos="194"/>
          <w:tab w:val="left" w:pos="360"/>
          <w:tab w:val="left" w:pos="1028"/>
          <w:tab w:val="left" w:pos="2033"/>
          <w:tab w:val="left" w:pos="3060"/>
          <w:tab w:val="left" w:pos="3848"/>
        </w:tabs>
        <w:rPr>
          <w:rFonts w:ascii="ArialNarrowMTStd" w:hAnsi="ArialNarrowMTStd" w:cs="ArialNarrowMTStd"/>
        </w:rPr>
      </w:pPr>
      <w:r>
        <w:rPr>
          <w:rFonts w:ascii="ArialNarrowMTStd" w:hAnsi="ArialNarrowMTStd" w:cs="ArialNarrowMTStd"/>
        </w:rPr>
        <w:t xml:space="preserve">Y </w:t>
      </w:r>
      <w:r>
        <w:rPr>
          <w:rFonts w:ascii="ArialNarrowMTStd" w:hAnsi="ArialNarrowMTStd" w:cs="ArialNarrowMTStd"/>
        </w:rPr>
        <w:tab/>
        <w:t xml:space="preserve">= </w:t>
      </w:r>
      <w:r>
        <w:rPr>
          <w:rFonts w:ascii="ArialNarrowMTStd" w:hAnsi="ArialNarrowMTStd" w:cs="ArialNarrowMTStd"/>
        </w:rPr>
        <w:tab/>
        <w:t>SPIFE Alkaline Phosphatase on SPIFE Touch</w:t>
      </w:r>
    </w:p>
    <w:p w14:paraId="48ED76EE" w14:textId="77777777" w:rsidR="00652F9A" w:rsidRDefault="00652F9A" w:rsidP="00652F9A">
      <w:pPr>
        <w:pStyle w:val="BodyCopy"/>
        <w:tabs>
          <w:tab w:val="clear" w:pos="220"/>
          <w:tab w:val="clear" w:pos="440"/>
          <w:tab w:val="clear" w:pos="640"/>
          <w:tab w:val="clear" w:pos="840"/>
          <w:tab w:val="left" w:pos="194"/>
          <w:tab w:val="left" w:pos="360"/>
          <w:tab w:val="left" w:pos="1028"/>
          <w:tab w:val="left" w:pos="2033"/>
          <w:tab w:val="left" w:pos="3060"/>
          <w:tab w:val="left" w:pos="3848"/>
        </w:tabs>
        <w:rPr>
          <w:rFonts w:ascii="ArialNarrowMTStd" w:hAnsi="ArialNarrowMTStd" w:cs="ArialNarrowMTStd"/>
        </w:rPr>
      </w:pPr>
    </w:p>
    <w:p w14:paraId="60121BBE" w14:textId="77777777" w:rsidR="00652F9A" w:rsidRDefault="00652F9A" w:rsidP="00652F9A">
      <w:pPr>
        <w:pStyle w:val="BodyCopy"/>
        <w:tabs>
          <w:tab w:val="clear" w:pos="220"/>
          <w:tab w:val="clear" w:pos="440"/>
          <w:tab w:val="clear" w:pos="640"/>
          <w:tab w:val="clear" w:pos="840"/>
          <w:tab w:val="left" w:pos="194"/>
          <w:tab w:val="left" w:pos="360"/>
          <w:tab w:val="left" w:pos="1028"/>
          <w:tab w:val="left" w:pos="2033"/>
          <w:tab w:val="left" w:pos="3060"/>
          <w:tab w:val="left" w:pos="3848"/>
        </w:tabs>
        <w:rPr>
          <w:rFonts w:ascii="ArialNarrowMTStd" w:hAnsi="ArialNarrowMTStd" w:cs="ArialNarrowMTStd"/>
        </w:rPr>
      </w:pPr>
    </w:p>
    <w:p w14:paraId="31BF2C34" w14:textId="77777777" w:rsidR="00652F9A" w:rsidRDefault="00652F9A" w:rsidP="00652F9A">
      <w:pPr>
        <w:pStyle w:val="Header"/>
        <w:rPr>
          <w:rFonts w:ascii="ArialNarrowMTStd-Bold" w:hAnsi="ArialNarrowMTStd-Bold" w:cs="ArialNarrowMTStd-Bold"/>
        </w:rPr>
      </w:pPr>
      <w:r>
        <w:rPr>
          <w:rFonts w:ascii="ArialNarrowMTStd-Bold" w:hAnsi="ArialNarrowMTStd-Bold" w:cs="ArialNarrowMTStd-Bold"/>
        </w:rPr>
        <w:t>BIBLIOGRAPHY</w:t>
      </w:r>
    </w:p>
    <w:p w14:paraId="0E0F9B1D" w14:textId="398D4012" w:rsidR="00652F9A" w:rsidRDefault="002F7B56" w:rsidP="00652F9A">
      <w:pPr>
        <w:pStyle w:val="Bibliography"/>
        <w:rPr>
          <w:rFonts w:ascii="ArialNarrowMTStd" w:hAnsi="ArialNarrowMTStd" w:cs="ArialNarrowMTStd"/>
          <w:sz w:val="16"/>
          <w:szCs w:val="16"/>
        </w:rPr>
      </w:pPr>
      <w:r>
        <w:rPr>
          <w:rFonts w:ascii="ArialNarrowMTStd" w:hAnsi="ArialNarrowMTStd" w:cs="ArialNarrowMTStd"/>
          <w:sz w:val="16"/>
          <w:szCs w:val="16"/>
        </w:rPr>
        <w:t xml:space="preserve">1. </w:t>
      </w:r>
      <w:r w:rsidR="00652F9A">
        <w:rPr>
          <w:rFonts w:ascii="ArialNarrowMTStd" w:hAnsi="ArialNarrowMTStd" w:cs="ArialNarrowMTStd"/>
          <w:sz w:val="16"/>
          <w:szCs w:val="16"/>
        </w:rPr>
        <w:t>Fishman, W.H., Am J Med, 56:617-650, 1974.</w:t>
      </w:r>
    </w:p>
    <w:p w14:paraId="07BE614F" w14:textId="50A274C8" w:rsidR="00652F9A" w:rsidRDefault="002F7B56" w:rsidP="00652F9A">
      <w:pPr>
        <w:pStyle w:val="Bibliography"/>
        <w:rPr>
          <w:rFonts w:ascii="ArialNarrowMTStd" w:hAnsi="ArialNarrowMTStd" w:cs="ArialNarrowMTStd"/>
          <w:sz w:val="16"/>
          <w:szCs w:val="16"/>
        </w:rPr>
      </w:pPr>
      <w:r>
        <w:rPr>
          <w:rFonts w:ascii="ArialNarrowMTStd" w:hAnsi="ArialNarrowMTStd" w:cs="ArialNarrowMTStd"/>
          <w:sz w:val="16"/>
          <w:szCs w:val="16"/>
        </w:rPr>
        <w:t xml:space="preserve">2. </w:t>
      </w:r>
      <w:r w:rsidR="00652F9A">
        <w:rPr>
          <w:rFonts w:ascii="ArialNarrowMTStd" w:hAnsi="ArialNarrowMTStd" w:cs="ArialNarrowMTStd"/>
          <w:sz w:val="16"/>
          <w:szCs w:val="16"/>
        </w:rPr>
        <w:t xml:space="preserve">Posen, S. et al., Ann </w:t>
      </w:r>
      <w:proofErr w:type="spellStart"/>
      <w:r w:rsidR="00652F9A">
        <w:rPr>
          <w:rFonts w:ascii="ArialNarrowMTStd" w:hAnsi="ArialNarrowMTStd" w:cs="ArialNarrowMTStd"/>
          <w:sz w:val="16"/>
          <w:szCs w:val="16"/>
        </w:rPr>
        <w:t>Int</w:t>
      </w:r>
      <w:proofErr w:type="spellEnd"/>
      <w:r w:rsidR="00652F9A">
        <w:rPr>
          <w:rFonts w:ascii="ArialNarrowMTStd" w:hAnsi="ArialNarrowMTStd" w:cs="ArialNarrowMTStd"/>
          <w:sz w:val="16"/>
          <w:szCs w:val="16"/>
        </w:rPr>
        <w:t xml:space="preserve"> Med, 62(6):1234-1243, 1965.</w:t>
      </w:r>
    </w:p>
    <w:p w14:paraId="2DA7C8E6" w14:textId="5051D124" w:rsidR="00652F9A" w:rsidRDefault="002F7B56" w:rsidP="00652F9A">
      <w:pPr>
        <w:pStyle w:val="Bibliography"/>
        <w:rPr>
          <w:rFonts w:ascii="ArialNarrowMTStd" w:hAnsi="ArialNarrowMTStd" w:cs="ArialNarrowMTStd"/>
          <w:sz w:val="16"/>
          <w:szCs w:val="16"/>
        </w:rPr>
      </w:pPr>
      <w:r>
        <w:rPr>
          <w:rFonts w:ascii="ArialNarrowMTStd" w:hAnsi="ArialNarrowMTStd" w:cs="ArialNarrowMTStd"/>
          <w:sz w:val="16"/>
          <w:szCs w:val="16"/>
        </w:rPr>
        <w:t xml:space="preserve">3. </w:t>
      </w:r>
      <w:proofErr w:type="spellStart"/>
      <w:r w:rsidR="00652F9A">
        <w:rPr>
          <w:rFonts w:ascii="ArialNarrowMTStd" w:hAnsi="ArialNarrowMTStd" w:cs="ArialNarrowMTStd"/>
          <w:sz w:val="16"/>
          <w:szCs w:val="16"/>
        </w:rPr>
        <w:t>Stepan</w:t>
      </w:r>
      <w:proofErr w:type="spellEnd"/>
      <w:r w:rsidR="00652F9A">
        <w:rPr>
          <w:rFonts w:ascii="ArialNarrowMTStd" w:hAnsi="ArialNarrowMTStd" w:cs="ArialNarrowMTStd"/>
          <w:sz w:val="16"/>
          <w:szCs w:val="16"/>
        </w:rPr>
        <w:t xml:space="preserve">, J. and </w:t>
      </w:r>
      <w:proofErr w:type="spellStart"/>
      <w:r w:rsidR="00652F9A">
        <w:rPr>
          <w:rFonts w:ascii="ArialNarrowMTStd" w:hAnsi="ArialNarrowMTStd" w:cs="ArialNarrowMTStd"/>
          <w:sz w:val="16"/>
          <w:szCs w:val="16"/>
        </w:rPr>
        <w:t>Vecerek</w:t>
      </w:r>
      <w:proofErr w:type="spellEnd"/>
      <w:r w:rsidR="00652F9A">
        <w:rPr>
          <w:rFonts w:ascii="ArialNarrowMTStd" w:hAnsi="ArialNarrowMTStd" w:cs="ArialNarrowMTStd"/>
          <w:sz w:val="16"/>
          <w:szCs w:val="16"/>
        </w:rPr>
        <w:t xml:space="preserve">, B., </w:t>
      </w:r>
      <w:proofErr w:type="spellStart"/>
      <w:r w:rsidR="00652F9A">
        <w:rPr>
          <w:rFonts w:ascii="ArialNarrowMTStd" w:hAnsi="ArialNarrowMTStd" w:cs="ArialNarrowMTStd"/>
          <w:sz w:val="16"/>
          <w:szCs w:val="16"/>
        </w:rPr>
        <w:t>Acta</w:t>
      </w:r>
      <w:proofErr w:type="spellEnd"/>
      <w:r w:rsidR="00652F9A">
        <w:rPr>
          <w:rFonts w:ascii="ArialNarrowMTStd" w:hAnsi="ArialNarrowMTStd" w:cs="ArialNarrowMTStd"/>
          <w:sz w:val="16"/>
          <w:szCs w:val="16"/>
        </w:rPr>
        <w:t xml:space="preserve"> </w:t>
      </w:r>
      <w:proofErr w:type="spellStart"/>
      <w:r w:rsidR="00652F9A">
        <w:rPr>
          <w:rFonts w:ascii="ArialNarrowMTStd" w:hAnsi="ArialNarrowMTStd" w:cs="ArialNarrowMTStd"/>
          <w:sz w:val="16"/>
          <w:szCs w:val="16"/>
        </w:rPr>
        <w:t>Univ</w:t>
      </w:r>
      <w:proofErr w:type="spellEnd"/>
      <w:r w:rsidR="00652F9A">
        <w:rPr>
          <w:rFonts w:ascii="ArialNarrowMTStd" w:hAnsi="ArialNarrowMTStd" w:cs="ArialNarrowMTStd"/>
          <w:sz w:val="16"/>
          <w:szCs w:val="16"/>
        </w:rPr>
        <w:t xml:space="preserve"> Carol, Mono 77:135-140, 1977.</w:t>
      </w:r>
    </w:p>
    <w:p w14:paraId="18D2F80C" w14:textId="6909F625"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4. O’Carroll, D. et al., AJCP, 63:564-572, 1975.</w:t>
      </w:r>
    </w:p>
    <w:p w14:paraId="7082ABB0" w14:textId="3E34E5BF"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5. Rhone, D.P. and Mizuno, F.M., AJCP, 59:531-541, 1973.</w:t>
      </w:r>
    </w:p>
    <w:p w14:paraId="60017C24" w14:textId="0E5EB757"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6. </w:t>
      </w:r>
      <w:proofErr w:type="spellStart"/>
      <w:r>
        <w:rPr>
          <w:rFonts w:ascii="ArialNarrowMTStd" w:hAnsi="ArialNarrowMTStd" w:cs="ArialNarrowMTStd"/>
          <w:sz w:val="16"/>
          <w:szCs w:val="16"/>
        </w:rPr>
        <w:t>Sundblad</w:t>
      </w:r>
      <w:proofErr w:type="spellEnd"/>
      <w:r>
        <w:rPr>
          <w:rFonts w:ascii="ArialNarrowMTStd" w:hAnsi="ArialNarrowMTStd" w:cs="ArialNarrowMTStd"/>
          <w:sz w:val="16"/>
          <w:szCs w:val="16"/>
        </w:rPr>
        <w:t xml:space="preserve">, L. et al., </w:t>
      </w:r>
      <w:proofErr w:type="spellStart"/>
      <w:r>
        <w:rPr>
          <w:rFonts w:ascii="ArialNarrowMTStd" w:hAnsi="ArialNarrowMTStd" w:cs="ArialNarrowMTStd"/>
          <w:sz w:val="16"/>
          <w:szCs w:val="16"/>
        </w:rPr>
        <w:t>Clin</w:t>
      </w:r>
      <w:proofErr w:type="spellEnd"/>
      <w:r>
        <w:rPr>
          <w:rFonts w:ascii="ArialNarrowMTStd" w:hAnsi="ArialNarrowMTStd" w:cs="ArialNarrowMTStd"/>
          <w:sz w:val="16"/>
          <w:szCs w:val="16"/>
        </w:rPr>
        <w:t xml:space="preserve"> </w:t>
      </w:r>
      <w:proofErr w:type="spellStart"/>
      <w:r>
        <w:rPr>
          <w:rFonts w:ascii="ArialNarrowMTStd" w:hAnsi="ArialNarrowMTStd" w:cs="ArialNarrowMTStd"/>
          <w:sz w:val="16"/>
          <w:szCs w:val="16"/>
        </w:rPr>
        <w:t>Chim</w:t>
      </w:r>
      <w:proofErr w:type="spellEnd"/>
      <w:r>
        <w:rPr>
          <w:rFonts w:ascii="ArialNarrowMTStd" w:hAnsi="ArialNarrowMTStd" w:cs="ArialNarrowMTStd"/>
          <w:sz w:val="16"/>
          <w:szCs w:val="16"/>
        </w:rPr>
        <w:t xml:space="preserve"> </w:t>
      </w:r>
      <w:proofErr w:type="spellStart"/>
      <w:r>
        <w:rPr>
          <w:rFonts w:ascii="ArialNarrowMTStd" w:hAnsi="ArialNarrowMTStd" w:cs="ArialNarrowMTStd"/>
          <w:sz w:val="16"/>
          <w:szCs w:val="16"/>
        </w:rPr>
        <w:t>Acta</w:t>
      </w:r>
      <w:proofErr w:type="spellEnd"/>
      <w:r>
        <w:rPr>
          <w:rFonts w:ascii="ArialNarrowMTStd" w:hAnsi="ArialNarrowMTStd" w:cs="ArialNarrowMTStd"/>
          <w:sz w:val="16"/>
          <w:szCs w:val="16"/>
        </w:rPr>
        <w:t>, 45:219-223, 1973.</w:t>
      </w:r>
    </w:p>
    <w:p w14:paraId="34045F00" w14:textId="59FCB237" w:rsidR="00652F9A" w:rsidRDefault="002F7B56"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7. </w:t>
      </w:r>
      <w:r w:rsidR="00652F9A">
        <w:rPr>
          <w:rFonts w:ascii="ArialNarrowMTStd" w:hAnsi="ArialNarrowMTStd" w:cs="ArialNarrowMTStd"/>
          <w:sz w:val="16"/>
          <w:szCs w:val="16"/>
        </w:rPr>
        <w:t xml:space="preserve">Baker, R.W.R. and Pellegrino, C., Scan J </w:t>
      </w:r>
      <w:proofErr w:type="spellStart"/>
      <w:r w:rsidR="00652F9A">
        <w:rPr>
          <w:rFonts w:ascii="ArialNarrowMTStd" w:hAnsi="ArialNarrowMTStd" w:cs="ArialNarrowMTStd"/>
          <w:sz w:val="16"/>
          <w:szCs w:val="16"/>
        </w:rPr>
        <w:t>Clin</w:t>
      </w:r>
      <w:proofErr w:type="spellEnd"/>
      <w:r w:rsidR="00652F9A">
        <w:rPr>
          <w:rFonts w:ascii="ArialNarrowMTStd" w:hAnsi="ArialNarrowMTStd" w:cs="ArialNarrowMTStd"/>
          <w:sz w:val="16"/>
          <w:szCs w:val="16"/>
        </w:rPr>
        <w:t xml:space="preserve"> Lab Invest, 6:94-101, 1954.</w:t>
      </w:r>
    </w:p>
    <w:p w14:paraId="26BD4863" w14:textId="4E4DD7A0"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8. </w:t>
      </w:r>
      <w:proofErr w:type="spellStart"/>
      <w:r>
        <w:rPr>
          <w:rFonts w:ascii="ArialNarrowMTStd" w:hAnsi="ArialNarrowMTStd" w:cs="ArialNarrowMTStd"/>
          <w:sz w:val="16"/>
          <w:szCs w:val="16"/>
        </w:rPr>
        <w:t>Keiding</w:t>
      </w:r>
      <w:proofErr w:type="spellEnd"/>
      <w:r>
        <w:rPr>
          <w:rFonts w:ascii="ArialNarrowMTStd" w:hAnsi="ArialNarrowMTStd" w:cs="ArialNarrowMTStd"/>
          <w:sz w:val="16"/>
          <w:szCs w:val="16"/>
        </w:rPr>
        <w:t xml:space="preserve">, N.R., Scan J </w:t>
      </w:r>
      <w:proofErr w:type="spellStart"/>
      <w:r>
        <w:rPr>
          <w:rFonts w:ascii="ArialNarrowMTStd" w:hAnsi="ArialNarrowMTStd" w:cs="ArialNarrowMTStd"/>
          <w:sz w:val="16"/>
          <w:szCs w:val="16"/>
        </w:rPr>
        <w:t>Clin</w:t>
      </w:r>
      <w:proofErr w:type="spellEnd"/>
      <w:r>
        <w:rPr>
          <w:rFonts w:ascii="ArialNarrowMTStd" w:hAnsi="ArialNarrowMTStd" w:cs="ArialNarrowMTStd"/>
          <w:sz w:val="16"/>
          <w:szCs w:val="16"/>
        </w:rPr>
        <w:t xml:space="preserve"> Lab Invest 11:106-112, 1959.</w:t>
      </w:r>
    </w:p>
    <w:p w14:paraId="468EB915" w14:textId="1B55E154"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9. Johnson, R.B., et al., </w:t>
      </w:r>
      <w:proofErr w:type="spellStart"/>
      <w:r>
        <w:rPr>
          <w:rFonts w:ascii="ArialNarrowMTStd" w:hAnsi="ArialNarrowMTStd" w:cs="ArialNarrowMTStd"/>
          <w:sz w:val="16"/>
          <w:szCs w:val="16"/>
        </w:rPr>
        <w:t>Clin</w:t>
      </w:r>
      <w:proofErr w:type="spellEnd"/>
      <w:r>
        <w:rPr>
          <w:rFonts w:ascii="ArialNarrowMTStd" w:hAnsi="ArialNarrowMTStd" w:cs="ArialNarrowMTStd"/>
          <w:sz w:val="16"/>
          <w:szCs w:val="16"/>
        </w:rPr>
        <w:t xml:space="preserve"> </w:t>
      </w:r>
      <w:proofErr w:type="spellStart"/>
      <w:r>
        <w:rPr>
          <w:rFonts w:ascii="ArialNarrowMTStd" w:hAnsi="ArialNarrowMTStd" w:cs="ArialNarrowMTStd"/>
          <w:sz w:val="16"/>
          <w:szCs w:val="16"/>
        </w:rPr>
        <w:t>Chem</w:t>
      </w:r>
      <w:proofErr w:type="spellEnd"/>
      <w:r>
        <w:rPr>
          <w:rFonts w:ascii="ArialNarrowMTStd" w:hAnsi="ArialNarrowMTStd" w:cs="ArialNarrowMTStd"/>
          <w:sz w:val="16"/>
          <w:szCs w:val="16"/>
        </w:rPr>
        <w:t>, 18(2):110-115, 1972.</w:t>
      </w:r>
    </w:p>
    <w:p w14:paraId="6C5F4087" w14:textId="32DFD986" w:rsidR="00652F9A" w:rsidRDefault="002F7B56"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10. </w:t>
      </w:r>
      <w:proofErr w:type="spellStart"/>
      <w:r w:rsidR="00652F9A">
        <w:rPr>
          <w:rFonts w:ascii="ArialNarrowMTStd" w:hAnsi="ArialNarrowMTStd" w:cs="ArialNarrowMTStd"/>
          <w:sz w:val="16"/>
          <w:szCs w:val="16"/>
        </w:rPr>
        <w:t>Fritsche</w:t>
      </w:r>
      <w:proofErr w:type="spellEnd"/>
      <w:r w:rsidR="00652F9A">
        <w:rPr>
          <w:rFonts w:ascii="ArialNarrowMTStd" w:hAnsi="ArialNarrowMTStd" w:cs="ArialNarrowMTStd"/>
          <w:sz w:val="16"/>
          <w:szCs w:val="16"/>
        </w:rPr>
        <w:t xml:space="preserve">, H.A. and Adams-Park, H.R., </w:t>
      </w:r>
      <w:proofErr w:type="spellStart"/>
      <w:r w:rsidR="00652F9A">
        <w:rPr>
          <w:rFonts w:ascii="ArialNarrowMTStd" w:hAnsi="ArialNarrowMTStd" w:cs="ArialNarrowMTStd"/>
          <w:sz w:val="16"/>
          <w:szCs w:val="16"/>
        </w:rPr>
        <w:t>Clin</w:t>
      </w:r>
      <w:proofErr w:type="spellEnd"/>
      <w:r w:rsidR="00652F9A">
        <w:rPr>
          <w:rFonts w:ascii="ArialNarrowMTStd" w:hAnsi="ArialNarrowMTStd" w:cs="ArialNarrowMTStd"/>
          <w:sz w:val="16"/>
          <w:szCs w:val="16"/>
        </w:rPr>
        <w:t xml:space="preserve"> </w:t>
      </w:r>
      <w:proofErr w:type="spellStart"/>
      <w:r w:rsidR="00652F9A">
        <w:rPr>
          <w:rFonts w:ascii="ArialNarrowMTStd" w:hAnsi="ArialNarrowMTStd" w:cs="ArialNarrowMTStd"/>
          <w:sz w:val="16"/>
          <w:szCs w:val="16"/>
        </w:rPr>
        <w:t>Chem</w:t>
      </w:r>
      <w:proofErr w:type="spellEnd"/>
      <w:r w:rsidR="00652F9A">
        <w:rPr>
          <w:rFonts w:ascii="ArialNarrowMTStd" w:hAnsi="ArialNarrowMTStd" w:cs="ArialNarrowMTStd"/>
          <w:sz w:val="16"/>
          <w:szCs w:val="16"/>
        </w:rPr>
        <w:t>, 18(5):417-421, 1972.</w:t>
      </w:r>
    </w:p>
    <w:p w14:paraId="1D3B7C72" w14:textId="50A8AA58"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11. </w:t>
      </w:r>
      <w:proofErr w:type="spellStart"/>
      <w:r>
        <w:rPr>
          <w:rFonts w:ascii="ArialNarrowMTStd" w:hAnsi="ArialNarrowMTStd" w:cs="ArialNarrowMTStd"/>
          <w:sz w:val="16"/>
          <w:szCs w:val="16"/>
        </w:rPr>
        <w:t>Viot</w:t>
      </w:r>
      <w:proofErr w:type="spellEnd"/>
      <w:r>
        <w:rPr>
          <w:rFonts w:ascii="ArialNarrowMTStd" w:hAnsi="ArialNarrowMTStd" w:cs="ArialNarrowMTStd"/>
          <w:sz w:val="16"/>
          <w:szCs w:val="16"/>
        </w:rPr>
        <w:t>, M. et al., Biomedicine, 31:74-77, 1979.</w:t>
      </w:r>
    </w:p>
    <w:p w14:paraId="0E21EF91" w14:textId="719BC270"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12. Rhone, D.P. et al., </w:t>
      </w:r>
      <w:proofErr w:type="spellStart"/>
      <w:r>
        <w:rPr>
          <w:rFonts w:ascii="ArialNarrowMTStd" w:hAnsi="ArialNarrowMTStd" w:cs="ArialNarrowMTStd"/>
          <w:sz w:val="16"/>
          <w:szCs w:val="16"/>
        </w:rPr>
        <w:t>Clin</w:t>
      </w:r>
      <w:proofErr w:type="spellEnd"/>
      <w:r>
        <w:rPr>
          <w:rFonts w:ascii="ArialNarrowMTStd" w:hAnsi="ArialNarrowMTStd" w:cs="ArialNarrowMTStd"/>
          <w:sz w:val="16"/>
          <w:szCs w:val="16"/>
        </w:rPr>
        <w:t xml:space="preserve"> </w:t>
      </w:r>
      <w:proofErr w:type="spellStart"/>
      <w:r>
        <w:rPr>
          <w:rFonts w:ascii="ArialNarrowMTStd" w:hAnsi="ArialNarrowMTStd" w:cs="ArialNarrowMTStd"/>
          <w:sz w:val="16"/>
          <w:szCs w:val="16"/>
        </w:rPr>
        <w:t>Chem</w:t>
      </w:r>
      <w:proofErr w:type="spellEnd"/>
      <w:r>
        <w:rPr>
          <w:rFonts w:ascii="ArialNarrowMTStd" w:hAnsi="ArialNarrowMTStd" w:cs="ArialNarrowMTStd"/>
          <w:sz w:val="16"/>
          <w:szCs w:val="16"/>
        </w:rPr>
        <w:t>, 19(10);1142-1147, 1973.</w:t>
      </w:r>
    </w:p>
    <w:p w14:paraId="46F05276" w14:textId="58CEA53E" w:rsidR="00652F9A" w:rsidRDefault="002F7B56"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13. </w:t>
      </w:r>
      <w:r w:rsidR="00652F9A">
        <w:rPr>
          <w:rFonts w:ascii="ArialNarrowMTStd" w:hAnsi="ArialNarrowMTStd" w:cs="ArialNarrowMTStd"/>
          <w:sz w:val="16"/>
          <w:szCs w:val="16"/>
        </w:rPr>
        <w:t xml:space="preserve">Moss, D.W. and Edwards, R.K., </w:t>
      </w:r>
      <w:proofErr w:type="spellStart"/>
      <w:r w:rsidR="00652F9A">
        <w:rPr>
          <w:rFonts w:ascii="ArialNarrowMTStd" w:hAnsi="ArialNarrowMTStd" w:cs="ArialNarrowMTStd"/>
          <w:sz w:val="16"/>
          <w:szCs w:val="16"/>
        </w:rPr>
        <w:t>Clin</w:t>
      </w:r>
      <w:proofErr w:type="spellEnd"/>
      <w:r w:rsidR="00652F9A">
        <w:rPr>
          <w:rFonts w:ascii="ArialNarrowMTStd" w:hAnsi="ArialNarrowMTStd" w:cs="ArialNarrowMTStd"/>
          <w:sz w:val="16"/>
          <w:szCs w:val="16"/>
        </w:rPr>
        <w:t xml:space="preserve"> </w:t>
      </w:r>
      <w:proofErr w:type="spellStart"/>
      <w:r w:rsidR="00652F9A">
        <w:rPr>
          <w:rFonts w:ascii="ArialNarrowMTStd" w:hAnsi="ArialNarrowMTStd" w:cs="ArialNarrowMTStd"/>
          <w:sz w:val="16"/>
          <w:szCs w:val="16"/>
        </w:rPr>
        <w:t>Chim</w:t>
      </w:r>
      <w:proofErr w:type="spellEnd"/>
      <w:r w:rsidR="00652F9A">
        <w:rPr>
          <w:rFonts w:ascii="ArialNarrowMTStd" w:hAnsi="ArialNarrowMTStd" w:cs="ArialNarrowMTStd"/>
          <w:sz w:val="16"/>
          <w:szCs w:val="16"/>
        </w:rPr>
        <w:t xml:space="preserve"> </w:t>
      </w:r>
      <w:proofErr w:type="spellStart"/>
      <w:r w:rsidR="00652F9A">
        <w:rPr>
          <w:rFonts w:ascii="ArialNarrowMTStd" w:hAnsi="ArialNarrowMTStd" w:cs="ArialNarrowMTStd"/>
          <w:sz w:val="16"/>
          <w:szCs w:val="16"/>
        </w:rPr>
        <w:t>Acta</w:t>
      </w:r>
      <w:proofErr w:type="spellEnd"/>
      <w:r w:rsidR="00652F9A">
        <w:rPr>
          <w:rFonts w:ascii="ArialNarrowMTStd" w:hAnsi="ArialNarrowMTStd" w:cs="ArialNarrowMTStd"/>
          <w:sz w:val="16"/>
          <w:szCs w:val="16"/>
        </w:rPr>
        <w:t>, 143:177-182, 1984.</w:t>
      </w:r>
    </w:p>
    <w:p w14:paraId="0C9848F8" w14:textId="0AA61C56"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14. Robinson, J.C. and Pierce, J.E., Nature, 204:472-473, 1964.</w:t>
      </w:r>
    </w:p>
    <w:p w14:paraId="49340C3D" w14:textId="2199B66F"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15. Moss, D.W. et al., </w:t>
      </w:r>
      <w:proofErr w:type="spellStart"/>
      <w:r>
        <w:rPr>
          <w:rFonts w:ascii="ArialNarrowMTStd" w:hAnsi="ArialNarrowMTStd" w:cs="ArialNarrowMTStd"/>
          <w:sz w:val="16"/>
          <w:szCs w:val="16"/>
        </w:rPr>
        <w:t>Biochem</w:t>
      </w:r>
      <w:proofErr w:type="spellEnd"/>
      <w:r>
        <w:rPr>
          <w:rFonts w:ascii="ArialNarrowMTStd" w:hAnsi="ArialNarrowMTStd" w:cs="ArialNarrowMTStd"/>
          <w:sz w:val="16"/>
          <w:szCs w:val="16"/>
        </w:rPr>
        <w:t xml:space="preserve"> J, 98:32C-33C; 1966.</w:t>
      </w:r>
    </w:p>
    <w:p w14:paraId="6CC65833" w14:textId="20F873BA"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16. </w:t>
      </w:r>
      <w:proofErr w:type="spellStart"/>
      <w:r>
        <w:rPr>
          <w:rFonts w:ascii="ArialNarrowMTStd" w:hAnsi="ArialNarrowMTStd" w:cs="ArialNarrowMTStd"/>
          <w:sz w:val="16"/>
          <w:szCs w:val="16"/>
        </w:rPr>
        <w:t>Rosalki</w:t>
      </w:r>
      <w:proofErr w:type="spellEnd"/>
      <w:r>
        <w:rPr>
          <w:rFonts w:ascii="ArialNarrowMTStd" w:hAnsi="ArialNarrowMTStd" w:cs="ArialNarrowMTStd"/>
          <w:sz w:val="16"/>
          <w:szCs w:val="16"/>
        </w:rPr>
        <w:t xml:space="preserve">, S.B. and Foo, A.Y., </w:t>
      </w:r>
      <w:proofErr w:type="spellStart"/>
      <w:r>
        <w:rPr>
          <w:rFonts w:ascii="ArialNarrowMTStd" w:hAnsi="ArialNarrowMTStd" w:cs="ArialNarrowMTStd"/>
          <w:sz w:val="16"/>
          <w:szCs w:val="16"/>
        </w:rPr>
        <w:t>Clin</w:t>
      </w:r>
      <w:proofErr w:type="spellEnd"/>
      <w:r>
        <w:rPr>
          <w:rFonts w:ascii="ArialNarrowMTStd" w:hAnsi="ArialNarrowMTStd" w:cs="ArialNarrowMTStd"/>
          <w:sz w:val="16"/>
          <w:szCs w:val="16"/>
        </w:rPr>
        <w:t xml:space="preserve"> </w:t>
      </w:r>
      <w:proofErr w:type="spellStart"/>
      <w:r>
        <w:rPr>
          <w:rFonts w:ascii="ArialNarrowMTStd" w:hAnsi="ArialNarrowMTStd" w:cs="ArialNarrowMTStd"/>
          <w:sz w:val="16"/>
          <w:szCs w:val="16"/>
        </w:rPr>
        <w:t>Chem</w:t>
      </w:r>
      <w:proofErr w:type="spellEnd"/>
      <w:r>
        <w:rPr>
          <w:rFonts w:ascii="ArialNarrowMTStd" w:hAnsi="ArialNarrowMTStd" w:cs="ArialNarrowMTStd"/>
          <w:sz w:val="16"/>
          <w:szCs w:val="16"/>
        </w:rPr>
        <w:t>, 31(7):1198-1200, 1985.</w:t>
      </w:r>
    </w:p>
    <w:p w14:paraId="103286C7" w14:textId="202A5667" w:rsidR="00652F9A" w:rsidRDefault="002F7B56"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17. </w:t>
      </w:r>
      <w:r w:rsidR="00652F9A">
        <w:rPr>
          <w:rFonts w:ascii="ArialNarrowMTStd" w:hAnsi="ArialNarrowMTStd" w:cs="ArialNarrowMTStd"/>
          <w:sz w:val="16"/>
          <w:szCs w:val="16"/>
        </w:rPr>
        <w:t xml:space="preserve">Young, D.S. et al., </w:t>
      </w:r>
      <w:r w:rsidR="00652F9A">
        <w:rPr>
          <w:rFonts w:ascii="ArialNarrowMTStd" w:hAnsi="ArialNarrowMTStd" w:cs="ArialNarrowMTStd"/>
          <w:sz w:val="16"/>
          <w:szCs w:val="16"/>
          <w:u w:val="thick" w:color="000000"/>
        </w:rPr>
        <w:t>Effects of Drugs on Clinical Laboratory Tests</w:t>
      </w:r>
      <w:r w:rsidR="00652F9A">
        <w:rPr>
          <w:rFonts w:ascii="ArialNarrowMTStd" w:hAnsi="ArialNarrowMTStd" w:cs="ArialNarrowMTStd"/>
          <w:sz w:val="16"/>
          <w:szCs w:val="16"/>
          <w:u w:color="000000"/>
        </w:rPr>
        <w:t>,</w:t>
      </w:r>
      <w:r w:rsidR="00652F9A">
        <w:rPr>
          <w:rFonts w:ascii="ArialNarrowMTStd" w:hAnsi="ArialNarrowMTStd" w:cs="ArialNarrowMTStd"/>
          <w:sz w:val="16"/>
          <w:szCs w:val="16"/>
        </w:rPr>
        <w:t xml:space="preserve"> 3rd ed., AACC Press, Washington, D.C., 1990.</w:t>
      </w:r>
    </w:p>
    <w:p w14:paraId="7D6949A5" w14:textId="13417CB2"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18. Ahmad, I., </w:t>
      </w:r>
      <w:proofErr w:type="spellStart"/>
      <w:r>
        <w:rPr>
          <w:rFonts w:ascii="ArialNarrowMTStd" w:hAnsi="ArialNarrowMTStd" w:cs="ArialNarrowMTStd"/>
          <w:sz w:val="16"/>
          <w:szCs w:val="16"/>
        </w:rPr>
        <w:t>Clin</w:t>
      </w:r>
      <w:proofErr w:type="spellEnd"/>
      <w:r>
        <w:rPr>
          <w:rFonts w:ascii="ArialNarrowMTStd" w:hAnsi="ArialNarrowMTStd" w:cs="ArialNarrowMTStd"/>
          <w:sz w:val="16"/>
          <w:szCs w:val="16"/>
        </w:rPr>
        <w:t xml:space="preserve"> </w:t>
      </w:r>
      <w:proofErr w:type="spellStart"/>
      <w:r>
        <w:rPr>
          <w:rFonts w:ascii="ArialNarrowMTStd" w:hAnsi="ArialNarrowMTStd" w:cs="ArialNarrowMTStd"/>
          <w:sz w:val="16"/>
          <w:szCs w:val="16"/>
        </w:rPr>
        <w:t>Chem</w:t>
      </w:r>
      <w:proofErr w:type="spellEnd"/>
      <w:r>
        <w:rPr>
          <w:rFonts w:ascii="ArialNarrowMTStd" w:hAnsi="ArialNarrowMTStd" w:cs="ArialNarrowMTStd"/>
          <w:sz w:val="16"/>
          <w:szCs w:val="16"/>
        </w:rPr>
        <w:t>, 24(10):1850-1851, 1978.</w:t>
      </w:r>
    </w:p>
    <w:p w14:paraId="4B3B387A" w14:textId="525972E2"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19. Lee, L.M. and Kenny, M.A., </w:t>
      </w:r>
      <w:proofErr w:type="spellStart"/>
      <w:r>
        <w:rPr>
          <w:rFonts w:ascii="ArialNarrowMTStd" w:hAnsi="ArialNarrowMTStd" w:cs="ArialNarrowMTStd"/>
          <w:sz w:val="16"/>
          <w:szCs w:val="16"/>
        </w:rPr>
        <w:t>Clin</w:t>
      </w:r>
      <w:proofErr w:type="spellEnd"/>
      <w:r>
        <w:rPr>
          <w:rFonts w:ascii="ArialNarrowMTStd" w:hAnsi="ArialNarrowMTStd" w:cs="ArialNarrowMTStd"/>
          <w:sz w:val="16"/>
          <w:szCs w:val="16"/>
        </w:rPr>
        <w:t xml:space="preserve"> </w:t>
      </w:r>
      <w:proofErr w:type="spellStart"/>
      <w:r>
        <w:rPr>
          <w:rFonts w:ascii="ArialNarrowMTStd" w:hAnsi="ArialNarrowMTStd" w:cs="ArialNarrowMTStd"/>
          <w:sz w:val="16"/>
          <w:szCs w:val="16"/>
        </w:rPr>
        <w:t>Chem</w:t>
      </w:r>
      <w:proofErr w:type="spellEnd"/>
      <w:r>
        <w:rPr>
          <w:rFonts w:ascii="ArialNarrowMTStd" w:hAnsi="ArialNarrowMTStd" w:cs="ArialNarrowMTStd"/>
          <w:sz w:val="16"/>
          <w:szCs w:val="16"/>
        </w:rPr>
        <w:t>, 21(8):1128-1135, 1975.</w:t>
      </w:r>
    </w:p>
    <w:p w14:paraId="39F26BC6" w14:textId="4C99271C"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20. Wolf, P.L., Arch </w:t>
      </w:r>
      <w:proofErr w:type="spellStart"/>
      <w:r>
        <w:rPr>
          <w:rFonts w:ascii="ArialNarrowMTStd" w:hAnsi="ArialNarrowMTStd" w:cs="ArialNarrowMTStd"/>
          <w:sz w:val="16"/>
          <w:szCs w:val="16"/>
        </w:rPr>
        <w:t>Pathol</w:t>
      </w:r>
      <w:proofErr w:type="spellEnd"/>
      <w:r>
        <w:rPr>
          <w:rFonts w:ascii="ArialNarrowMTStd" w:hAnsi="ArialNarrowMTStd" w:cs="ArialNarrowMTStd"/>
          <w:sz w:val="16"/>
          <w:szCs w:val="16"/>
        </w:rPr>
        <w:t xml:space="preserve"> Lab Med, 102:497-501, 1978.</w:t>
      </w:r>
    </w:p>
    <w:p w14:paraId="241D6166" w14:textId="2A7E434D"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21. Eastman, J.R., and </w:t>
      </w:r>
      <w:proofErr w:type="spellStart"/>
      <w:r>
        <w:rPr>
          <w:rFonts w:ascii="ArialNarrowMTStd" w:hAnsi="ArialNarrowMTStd" w:cs="ArialNarrowMTStd"/>
          <w:sz w:val="16"/>
          <w:szCs w:val="16"/>
        </w:rPr>
        <w:t>Bixler</w:t>
      </w:r>
      <w:proofErr w:type="spellEnd"/>
      <w:r>
        <w:rPr>
          <w:rFonts w:ascii="ArialNarrowMTStd" w:hAnsi="ArialNarrowMTStd" w:cs="ArialNarrowMTStd"/>
          <w:sz w:val="16"/>
          <w:szCs w:val="16"/>
        </w:rPr>
        <w:t xml:space="preserve">, D., </w:t>
      </w:r>
      <w:proofErr w:type="spellStart"/>
      <w:r>
        <w:rPr>
          <w:rFonts w:ascii="ArialNarrowMTStd" w:hAnsi="ArialNarrowMTStd" w:cs="ArialNarrowMTStd"/>
          <w:sz w:val="16"/>
          <w:szCs w:val="16"/>
        </w:rPr>
        <w:t>Clin</w:t>
      </w:r>
      <w:proofErr w:type="spellEnd"/>
      <w:r>
        <w:rPr>
          <w:rFonts w:ascii="ArialNarrowMTStd" w:hAnsi="ArialNarrowMTStd" w:cs="ArialNarrowMTStd"/>
          <w:sz w:val="16"/>
          <w:szCs w:val="16"/>
        </w:rPr>
        <w:t xml:space="preserve"> </w:t>
      </w:r>
      <w:proofErr w:type="spellStart"/>
      <w:r>
        <w:rPr>
          <w:rFonts w:ascii="ArialNarrowMTStd" w:hAnsi="ArialNarrowMTStd" w:cs="ArialNarrowMTStd"/>
          <w:sz w:val="16"/>
          <w:szCs w:val="16"/>
        </w:rPr>
        <w:t>Chem</w:t>
      </w:r>
      <w:proofErr w:type="spellEnd"/>
      <w:r>
        <w:rPr>
          <w:rFonts w:ascii="ArialNarrowMTStd" w:hAnsi="ArialNarrowMTStd" w:cs="ArialNarrowMTStd"/>
          <w:sz w:val="16"/>
          <w:szCs w:val="16"/>
        </w:rPr>
        <w:t>, 23(9):1769-1770, 1977.</w:t>
      </w:r>
    </w:p>
    <w:p w14:paraId="162E5110" w14:textId="48E8AA8D"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22. Cherian, A.G., and Hill, J.G., AJCP, 70(5):783-789,1978.</w:t>
      </w:r>
    </w:p>
    <w:p w14:paraId="09E87F79" w14:textId="026B65AB" w:rsidR="00652F9A" w:rsidRDefault="002F7B56"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23. </w:t>
      </w:r>
      <w:proofErr w:type="spellStart"/>
      <w:r w:rsidR="00652F9A">
        <w:rPr>
          <w:rFonts w:ascii="ArialNarrowMTStd" w:hAnsi="ArialNarrowMTStd" w:cs="ArialNarrowMTStd"/>
          <w:sz w:val="16"/>
          <w:szCs w:val="16"/>
        </w:rPr>
        <w:t>Tietz</w:t>
      </w:r>
      <w:proofErr w:type="spellEnd"/>
      <w:r w:rsidR="00652F9A">
        <w:rPr>
          <w:rFonts w:ascii="ArialNarrowMTStd" w:hAnsi="ArialNarrowMTStd" w:cs="ArialNarrowMTStd"/>
          <w:sz w:val="16"/>
          <w:szCs w:val="16"/>
        </w:rPr>
        <w:t xml:space="preserve">, N.W., </w:t>
      </w:r>
      <w:r w:rsidR="00652F9A">
        <w:rPr>
          <w:rFonts w:ascii="ArialNarrowMTStd" w:hAnsi="ArialNarrowMTStd" w:cs="ArialNarrowMTStd"/>
          <w:sz w:val="16"/>
          <w:szCs w:val="16"/>
          <w:u w:val="thick" w:color="000000"/>
        </w:rPr>
        <w:t>Clinical Guide to Laboratory Tests</w:t>
      </w:r>
      <w:r w:rsidR="00652F9A">
        <w:rPr>
          <w:rFonts w:ascii="ArialNarrowMTStd" w:hAnsi="ArialNarrowMTStd" w:cs="ArialNarrowMTStd"/>
          <w:sz w:val="16"/>
          <w:szCs w:val="16"/>
        </w:rPr>
        <w:t>, 3rd ed., W.B. Saunders Co., 32-35, 1995.</w:t>
      </w:r>
    </w:p>
    <w:p w14:paraId="376F0253" w14:textId="5BCF7C0B" w:rsidR="00652F9A" w:rsidRDefault="002F7B56"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24. </w:t>
      </w:r>
      <w:proofErr w:type="spellStart"/>
      <w:r w:rsidR="00652F9A">
        <w:rPr>
          <w:rFonts w:ascii="ArialNarrowMTStd" w:hAnsi="ArialNarrowMTStd" w:cs="ArialNarrowMTStd"/>
          <w:sz w:val="16"/>
          <w:szCs w:val="16"/>
        </w:rPr>
        <w:t>Nerenburg</w:t>
      </w:r>
      <w:proofErr w:type="spellEnd"/>
      <w:r w:rsidR="00652F9A">
        <w:rPr>
          <w:rFonts w:ascii="ArialNarrowMTStd" w:hAnsi="ArialNarrowMTStd" w:cs="ArialNarrowMTStd"/>
          <w:sz w:val="16"/>
          <w:szCs w:val="16"/>
        </w:rPr>
        <w:t xml:space="preserve">, S.T., </w:t>
      </w:r>
      <w:r w:rsidR="00652F9A">
        <w:rPr>
          <w:rFonts w:ascii="ArialNarrowMTStd" w:hAnsi="ArialNarrowMTStd" w:cs="ArialNarrowMTStd"/>
          <w:sz w:val="16"/>
          <w:szCs w:val="16"/>
          <w:u w:val="thick" w:color="000000"/>
        </w:rPr>
        <w:t>Medical Technology</w:t>
      </w:r>
      <w:r w:rsidR="00652F9A">
        <w:rPr>
          <w:rFonts w:ascii="ArialNarrowMTStd" w:hAnsi="ArialNarrowMTStd" w:cs="ArialNarrowMTStd"/>
          <w:sz w:val="16"/>
          <w:szCs w:val="16"/>
        </w:rPr>
        <w:t xml:space="preserve">, Lea and </w:t>
      </w:r>
      <w:proofErr w:type="spellStart"/>
      <w:r w:rsidR="00652F9A">
        <w:rPr>
          <w:rFonts w:ascii="ArialNarrowMTStd" w:hAnsi="ArialNarrowMTStd" w:cs="ArialNarrowMTStd"/>
          <w:sz w:val="16"/>
          <w:szCs w:val="16"/>
        </w:rPr>
        <w:t>Febiger</w:t>
      </w:r>
      <w:proofErr w:type="spellEnd"/>
      <w:r w:rsidR="00652F9A">
        <w:rPr>
          <w:rFonts w:ascii="ArialNarrowMTStd" w:hAnsi="ArialNarrowMTStd" w:cs="ArialNarrowMTStd"/>
          <w:sz w:val="16"/>
          <w:szCs w:val="16"/>
        </w:rPr>
        <w:t xml:space="preserve"> Inc., Philadelphia 122-123, 1973.</w:t>
      </w:r>
    </w:p>
    <w:p w14:paraId="38B8FAED" w14:textId="41D69474"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25. Messer, R.H., Am J </w:t>
      </w:r>
      <w:proofErr w:type="spellStart"/>
      <w:r>
        <w:rPr>
          <w:rFonts w:ascii="ArialNarrowMTStd" w:hAnsi="ArialNarrowMTStd" w:cs="ArialNarrowMTStd"/>
          <w:sz w:val="16"/>
          <w:szCs w:val="16"/>
        </w:rPr>
        <w:t>Obst</w:t>
      </w:r>
      <w:proofErr w:type="spellEnd"/>
      <w:r>
        <w:rPr>
          <w:rFonts w:ascii="ArialNarrowMTStd" w:hAnsi="ArialNarrowMTStd" w:cs="ArialNarrowMTStd"/>
          <w:sz w:val="16"/>
          <w:szCs w:val="16"/>
        </w:rPr>
        <w:t xml:space="preserve"> &amp; </w:t>
      </w:r>
      <w:proofErr w:type="spellStart"/>
      <w:r>
        <w:rPr>
          <w:rFonts w:ascii="ArialNarrowMTStd" w:hAnsi="ArialNarrowMTStd" w:cs="ArialNarrowMTStd"/>
          <w:sz w:val="16"/>
          <w:szCs w:val="16"/>
        </w:rPr>
        <w:t>Gynec</w:t>
      </w:r>
      <w:proofErr w:type="spellEnd"/>
      <w:r>
        <w:rPr>
          <w:rFonts w:ascii="ArialNarrowMTStd" w:hAnsi="ArialNarrowMTStd" w:cs="ArialNarrowMTStd"/>
          <w:sz w:val="16"/>
          <w:szCs w:val="16"/>
        </w:rPr>
        <w:t xml:space="preserve"> 98(4</w:t>
      </w:r>
      <w:proofErr w:type="gramStart"/>
      <w:r>
        <w:rPr>
          <w:rFonts w:ascii="ArialNarrowMTStd" w:hAnsi="ArialNarrowMTStd" w:cs="ArialNarrowMTStd"/>
          <w:sz w:val="16"/>
          <w:szCs w:val="16"/>
        </w:rPr>
        <w:t>):,</w:t>
      </w:r>
      <w:proofErr w:type="gramEnd"/>
      <w:r>
        <w:rPr>
          <w:rFonts w:ascii="ArialNarrowMTStd" w:hAnsi="ArialNarrowMTStd" w:cs="ArialNarrowMTStd"/>
          <w:sz w:val="16"/>
          <w:szCs w:val="16"/>
        </w:rPr>
        <w:t>459-465, 1967.</w:t>
      </w:r>
    </w:p>
    <w:p w14:paraId="2B7F2898" w14:textId="6009F38A" w:rsidR="00652F9A" w:rsidRDefault="00652F9A" w:rsidP="002F7B56">
      <w:pPr>
        <w:pStyle w:val="Bibliography"/>
        <w:rPr>
          <w:rFonts w:ascii="ArialNarrowMTStd" w:hAnsi="ArialNarrowMTStd" w:cs="ArialNarrowMTStd"/>
          <w:sz w:val="16"/>
          <w:szCs w:val="16"/>
        </w:rPr>
      </w:pPr>
      <w:r>
        <w:rPr>
          <w:rFonts w:ascii="ArialNarrowMTStd" w:hAnsi="ArialNarrowMTStd" w:cs="ArialNarrowMTStd"/>
          <w:sz w:val="16"/>
          <w:szCs w:val="16"/>
        </w:rPr>
        <w:t xml:space="preserve">26. </w:t>
      </w:r>
      <w:proofErr w:type="spellStart"/>
      <w:r>
        <w:rPr>
          <w:rFonts w:ascii="ArialNarrowMTStd" w:hAnsi="ArialNarrowMTStd" w:cs="ArialNarrowMTStd"/>
          <w:sz w:val="16"/>
          <w:szCs w:val="16"/>
        </w:rPr>
        <w:t>Kuwana</w:t>
      </w:r>
      <w:proofErr w:type="spellEnd"/>
      <w:r>
        <w:rPr>
          <w:rFonts w:ascii="ArialNarrowMTStd" w:hAnsi="ArialNarrowMTStd" w:cs="ArialNarrowMTStd"/>
          <w:sz w:val="16"/>
          <w:szCs w:val="16"/>
        </w:rPr>
        <w:t xml:space="preserve">, T. and </w:t>
      </w:r>
      <w:proofErr w:type="spellStart"/>
      <w:r>
        <w:rPr>
          <w:rFonts w:ascii="ArialNarrowMTStd" w:hAnsi="ArialNarrowMTStd" w:cs="ArialNarrowMTStd"/>
          <w:sz w:val="16"/>
          <w:szCs w:val="16"/>
        </w:rPr>
        <w:t>Rosalki</w:t>
      </w:r>
      <w:proofErr w:type="spellEnd"/>
      <w:r>
        <w:rPr>
          <w:rFonts w:ascii="ArialNarrowMTStd" w:hAnsi="ArialNarrowMTStd" w:cs="ArialNarrowMTStd"/>
          <w:sz w:val="16"/>
          <w:szCs w:val="16"/>
        </w:rPr>
        <w:t xml:space="preserve">, S., </w:t>
      </w:r>
      <w:proofErr w:type="spellStart"/>
      <w:r>
        <w:rPr>
          <w:rFonts w:ascii="ArialNarrowMTStd" w:hAnsi="ArialNarrowMTStd" w:cs="ArialNarrowMTStd"/>
          <w:sz w:val="16"/>
          <w:szCs w:val="16"/>
        </w:rPr>
        <w:t>Clin</w:t>
      </w:r>
      <w:proofErr w:type="spellEnd"/>
      <w:r>
        <w:rPr>
          <w:rFonts w:ascii="ArialNarrowMTStd" w:hAnsi="ArialNarrowMTStd" w:cs="ArialNarrowMTStd"/>
          <w:sz w:val="16"/>
          <w:szCs w:val="16"/>
        </w:rPr>
        <w:t xml:space="preserve"> </w:t>
      </w:r>
      <w:proofErr w:type="spellStart"/>
      <w:r>
        <w:rPr>
          <w:rFonts w:ascii="ArialNarrowMTStd" w:hAnsi="ArialNarrowMTStd" w:cs="ArialNarrowMTStd"/>
          <w:sz w:val="16"/>
          <w:szCs w:val="16"/>
        </w:rPr>
        <w:t>Chem</w:t>
      </w:r>
      <w:proofErr w:type="spellEnd"/>
      <w:r>
        <w:rPr>
          <w:rFonts w:ascii="ArialNarrowMTStd" w:hAnsi="ArialNarrowMTStd" w:cs="ArialNarrowMTStd"/>
          <w:sz w:val="16"/>
          <w:szCs w:val="16"/>
        </w:rPr>
        <w:t>, 36(11):1918-1921, 1990.</w:t>
      </w:r>
    </w:p>
    <w:p w14:paraId="48452888" w14:textId="78D0E752" w:rsidR="00652F9A" w:rsidRDefault="00652F9A" w:rsidP="002F7B56">
      <w:pPr>
        <w:pStyle w:val="Bibliography"/>
        <w:rPr>
          <w:rFonts w:ascii="ArialNarrowMTStd" w:hAnsi="ArialNarrowMTStd" w:cs="ArialNarrowMTStd"/>
          <w:sz w:val="20"/>
          <w:szCs w:val="20"/>
        </w:rPr>
      </w:pPr>
      <w:r>
        <w:rPr>
          <w:rFonts w:ascii="ArialNarrowMTStd" w:hAnsi="ArialNarrowMTStd" w:cs="ArialNarrowMTStd"/>
          <w:sz w:val="16"/>
          <w:szCs w:val="16"/>
        </w:rPr>
        <w:t xml:space="preserve">27. Wolf, P., J of </w:t>
      </w:r>
      <w:proofErr w:type="spellStart"/>
      <w:r>
        <w:rPr>
          <w:rFonts w:ascii="ArialNarrowMTStd" w:hAnsi="ArialNarrowMTStd" w:cs="ArialNarrowMTStd"/>
          <w:sz w:val="16"/>
          <w:szCs w:val="16"/>
        </w:rPr>
        <w:t>Clin</w:t>
      </w:r>
      <w:proofErr w:type="spellEnd"/>
      <w:r>
        <w:rPr>
          <w:rFonts w:ascii="ArialNarrowMTStd" w:hAnsi="ArialNarrowMTStd" w:cs="ArialNarrowMTStd"/>
          <w:sz w:val="16"/>
          <w:szCs w:val="16"/>
        </w:rPr>
        <w:t xml:space="preserve"> Lab Anal. 8:172-176, 1994.</w:t>
      </w:r>
    </w:p>
    <w:p w14:paraId="2030D707" w14:textId="77777777" w:rsidR="00652F9A" w:rsidRDefault="00652F9A" w:rsidP="00652F9A">
      <w:pPr>
        <w:pStyle w:val="BodyCopy"/>
        <w:tabs>
          <w:tab w:val="clear" w:pos="220"/>
          <w:tab w:val="clear" w:pos="440"/>
          <w:tab w:val="clear" w:pos="640"/>
          <w:tab w:val="clear" w:pos="840"/>
          <w:tab w:val="left" w:pos="4043"/>
        </w:tabs>
        <w:ind w:left="240"/>
        <w:rPr>
          <w:rFonts w:ascii="ArialNarrowMTStd" w:hAnsi="ArialNarrowMTStd" w:cs="ArialNarrowMTStd"/>
        </w:rPr>
      </w:pPr>
    </w:p>
    <w:p w14:paraId="0CB5F76C" w14:textId="77777777" w:rsidR="00652F9A" w:rsidRDefault="00652F9A" w:rsidP="00652F9A">
      <w:pPr>
        <w:pStyle w:val="BodyCopy"/>
        <w:tabs>
          <w:tab w:val="clear" w:pos="220"/>
          <w:tab w:val="clear" w:pos="440"/>
          <w:tab w:val="clear" w:pos="640"/>
          <w:tab w:val="clear" w:pos="840"/>
          <w:tab w:val="left" w:pos="4043"/>
        </w:tabs>
        <w:ind w:left="240"/>
        <w:rPr>
          <w:rFonts w:ascii="ArialNarrowMTStd" w:hAnsi="ArialNarrowMTStd" w:cs="ArialNarrowMTStd"/>
        </w:rPr>
      </w:pPr>
    </w:p>
    <w:p w14:paraId="3BE18F79" w14:textId="77777777" w:rsidR="00652F9A" w:rsidRDefault="00652F9A" w:rsidP="00652F9A">
      <w:pPr>
        <w:pStyle w:val="BodyCopy"/>
        <w:rPr>
          <w:rFonts w:ascii="ArialNarrowMTStd" w:hAnsi="ArialNarrowMTStd" w:cs="ArialNarrowMTStd"/>
        </w:rPr>
      </w:pPr>
      <w:r>
        <w:rPr>
          <w:rFonts w:ascii="ArialNarrowMTStd" w:hAnsi="ArialNarrowMTStd" w:cs="ArialNarrowMTStd"/>
        </w:rPr>
        <w:t>For Sales, Technical and Order Information and Service Assistance, call 800-231-5663 toll free.</w:t>
      </w:r>
    </w:p>
    <w:p w14:paraId="5749F95C" w14:textId="77777777" w:rsidR="00652F9A" w:rsidRDefault="00652F9A" w:rsidP="00652F9A">
      <w:pPr>
        <w:pStyle w:val="BodyCopy"/>
        <w:rPr>
          <w:rFonts w:ascii="ArialNarrowMTStd" w:hAnsi="ArialNarrowMTStd" w:cs="ArialNarrowMTStd"/>
          <w:sz w:val="12"/>
          <w:szCs w:val="12"/>
        </w:rPr>
      </w:pPr>
      <w:r>
        <w:rPr>
          <w:rFonts w:ascii="ArialNarrowMTStd" w:hAnsi="ArialNarrowMTStd" w:cs="ArialNarrowMTStd"/>
          <w:sz w:val="12"/>
          <w:szCs w:val="12"/>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4BF0278C" w14:textId="77777777" w:rsidR="00652F9A" w:rsidRDefault="00652F9A" w:rsidP="00652F9A">
      <w:pPr>
        <w:pStyle w:val="BodyCopy"/>
        <w:rPr>
          <w:rFonts w:ascii="ArialNarrowMTStd" w:hAnsi="ArialNarrowMTStd" w:cs="ArialNarrowMTStd"/>
          <w:sz w:val="12"/>
          <w:szCs w:val="12"/>
        </w:rPr>
      </w:pPr>
      <w:r>
        <w:rPr>
          <w:rFonts w:ascii="ArialNarrowMTStd" w:hAnsi="ArialNarrowMTStd" w:cs="ArialNarrowMTStd"/>
          <w:sz w:val="12"/>
          <w:szCs w:val="12"/>
        </w:rPr>
        <w:t>In no case will Helena Laboratories be liable for consequential damages even if Helena has been advised as to the possibility of such damages.</w:t>
      </w:r>
    </w:p>
    <w:p w14:paraId="4DEAD645" w14:textId="5729F9A1" w:rsidR="008A0B82" w:rsidRPr="00B555D9" w:rsidRDefault="00652F9A" w:rsidP="00652F9A">
      <w:pPr>
        <w:widowControl w:val="0"/>
        <w:tabs>
          <w:tab w:val="left" w:pos="720"/>
          <w:tab w:val="left" w:pos="3975"/>
          <w:tab w:val="left" w:pos="7530"/>
        </w:tabs>
        <w:suppressAutoHyphens/>
        <w:autoSpaceDE w:val="0"/>
        <w:autoSpaceDN w:val="0"/>
        <w:adjustRightInd w:val="0"/>
        <w:spacing w:before="140" w:line="288" w:lineRule="auto"/>
        <w:textAlignment w:val="center"/>
        <w:rPr>
          <w:rFonts w:ascii="Arial" w:hAnsi="Arial" w:cs="Arial"/>
          <w:color w:val="000000"/>
          <w:spacing w:val="-1"/>
          <w:sz w:val="16"/>
          <w:szCs w:val="16"/>
        </w:rPr>
      </w:pPr>
      <w:r>
        <w:rPr>
          <w:rFonts w:ascii="ArialNarrowMTStd" w:hAnsi="ArialNarrowMTStd" w:cs="ArialNarrowMTStd"/>
          <w:sz w:val="12"/>
          <w:szCs w:val="12"/>
        </w:rPr>
        <w:t>The foregoing warranties are in lieu of all warranties expressed or implied including, but not limited to, the implied warranties of merchantability and fitness for a particular purpose.</w:t>
      </w:r>
      <w:r w:rsidR="008A0B82" w:rsidRPr="00B555D9">
        <w:rPr>
          <w:rFonts w:ascii="Arial" w:hAnsi="Arial" w:cs="Arial"/>
          <w:color w:val="000000"/>
          <w:spacing w:val="-1"/>
          <w:sz w:val="16"/>
          <w:szCs w:val="16"/>
        </w:rPr>
        <w:tab/>
      </w:r>
    </w:p>
    <w:p w14:paraId="63C0EA81" w14:textId="77777777" w:rsidR="002F7B56" w:rsidRDefault="002F7B56" w:rsidP="002F7B56">
      <w:pPr>
        <w:pStyle w:val="ProNumberREV"/>
        <w:rPr>
          <w:rFonts w:ascii="ArialMTStd" w:hAnsi="ArialMTStd" w:cs="ArialMTStd"/>
        </w:rPr>
      </w:pPr>
    </w:p>
    <w:p w14:paraId="7AF14647" w14:textId="77777777" w:rsidR="002F7B56" w:rsidRDefault="002F7B56" w:rsidP="002F7B56">
      <w:pPr>
        <w:pStyle w:val="ProNumberREV"/>
        <w:rPr>
          <w:rFonts w:ascii="ArialMTStd" w:hAnsi="ArialMTStd" w:cs="ArialMTStd"/>
        </w:rPr>
      </w:pPr>
    </w:p>
    <w:p w14:paraId="4713803C" w14:textId="77777777" w:rsidR="002F7B56" w:rsidRPr="002F7B56" w:rsidRDefault="002F7B56" w:rsidP="002F7B56">
      <w:pPr>
        <w:pStyle w:val="ProNumberREV"/>
        <w:jc w:val="left"/>
        <w:rPr>
          <w:rFonts w:ascii="ArialMTStd" w:hAnsi="ArialMTStd" w:cs="ArialMTStd"/>
          <w:sz w:val="16"/>
          <w:szCs w:val="16"/>
        </w:rPr>
      </w:pPr>
      <w:r w:rsidRPr="002F7B56">
        <w:rPr>
          <w:rFonts w:ascii="ArialMTStd" w:hAnsi="ArialMTStd" w:cs="ArialMTStd"/>
          <w:sz w:val="16"/>
          <w:szCs w:val="16"/>
        </w:rPr>
        <w:t>Pro. 233</w:t>
      </w:r>
    </w:p>
    <w:p w14:paraId="1124680A" w14:textId="522B574C" w:rsidR="006B5367" w:rsidRPr="00B555D9" w:rsidRDefault="002F7B56" w:rsidP="002F7B56">
      <w:pPr>
        <w:rPr>
          <w:rFonts w:ascii="Arial" w:hAnsi="Arial" w:cs="Arial"/>
          <w:sz w:val="16"/>
          <w:szCs w:val="16"/>
        </w:rPr>
      </w:pPr>
      <w:r w:rsidRPr="002F7B56">
        <w:rPr>
          <w:rFonts w:ascii="ArialMTStd" w:hAnsi="ArialMTStd" w:cs="ArialMTStd"/>
          <w:sz w:val="16"/>
          <w:szCs w:val="16"/>
        </w:rPr>
        <w:t>2/17(2)</w:t>
      </w:r>
      <w:bookmarkStart w:id="0" w:name="_GoBack"/>
      <w:bookmarkEnd w:id="0"/>
      <w:r w:rsidR="008A0B82" w:rsidRPr="00B555D9">
        <w:rPr>
          <w:rFonts w:ascii="Arial" w:hAnsi="Arial" w:cs="Arial"/>
          <w:noProof/>
          <w:sz w:val="12"/>
          <w:szCs w:val="12"/>
        </w:rPr>
        <w:drawing>
          <wp:anchor distT="0" distB="0" distL="114300" distR="114300" simplePos="0" relativeHeight="251665408" behindDoc="0" locked="0" layoutInCell="1" allowOverlap="1" wp14:anchorId="0E773B19" wp14:editId="33DF0C54">
            <wp:simplePos x="0" y="0"/>
            <wp:positionH relativeFrom="column">
              <wp:posOffset>1994535</wp:posOffset>
            </wp:positionH>
            <wp:positionV relativeFrom="paragraph">
              <wp:posOffset>90805</wp:posOffset>
            </wp:positionV>
            <wp:extent cx="2095500" cy="7366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5367" w:rsidRPr="00B555D9" w:rsidSect="008E4030">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rial-BoldMT">
    <w:charset w:val="00"/>
    <w:family w:val="auto"/>
    <w:pitch w:val="variable"/>
    <w:sig w:usb0="E0002AFF" w:usb1="C0007843" w:usb2="00000009" w:usb3="00000000" w:csb0="000001FF" w:csb1="00000000"/>
  </w:font>
  <w:font w:name="ArialNarrow-Bold">
    <w:charset w:val="00"/>
    <w:family w:val="auto"/>
    <w:pitch w:val="variable"/>
    <w:sig w:usb0="00000287" w:usb1="00000800" w:usb2="00000000" w:usb3="00000000" w:csb0="0000009F" w:csb1="00000000"/>
  </w:font>
  <w:font w:name="ArialMT">
    <w:charset w:val="00"/>
    <w:family w:val="auto"/>
    <w:pitch w:val="variable"/>
    <w:sig w:usb0="E0002AFF" w:usb1="C0007843" w:usb2="00000009" w:usb3="00000000" w:csb0="000001FF" w:csb1="00000000"/>
  </w:font>
  <w:font w:name="Times-Roman">
    <w:charset w:val="00"/>
    <w:family w:val="auto"/>
    <w:pitch w:val="variable"/>
    <w:sig w:usb0="00000003" w:usb1="00000000" w:usb2="00000000" w:usb3="00000000" w:csb0="00000001" w:csb1="00000000"/>
  </w:font>
  <w:font w:name="ArialNarrow">
    <w:charset w:val="00"/>
    <w:family w:val="auto"/>
    <w:pitch w:val="variable"/>
    <w:sig w:usb0="00000287" w:usb1="00000800" w:usb2="00000000" w:usb3="00000000" w:csb0="0000009F" w:csb1="00000000"/>
  </w:font>
  <w:font w:name="ArialNarrowMTStd">
    <w:charset w:val="00"/>
    <w:family w:val="auto"/>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NarrowMTStd-Bold">
    <w:charset w:val="00"/>
    <w:family w:val="auto"/>
    <w:pitch w:val="variable"/>
    <w:sig w:usb0="800000AF" w:usb1="4000204A" w:usb2="00000000" w:usb3="00000000" w:csb0="00000001" w:csb1="00000000"/>
  </w:font>
  <w:font w:name="ArialMTStd">
    <w:charset w:val="00"/>
    <w:family w:val="auto"/>
    <w:pitch w:val="variable"/>
    <w:sig w:usb0="800000AF" w:usb1="4000204A"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proofState w:spelling="clean" w:grammar="clean"/>
  <w:defaultTabStop w:val="720"/>
  <w:drawingGridHorizontalSpacing w:val="120"/>
  <w:drawingGridVerticalSpacing w:val="200"/>
  <w:displayHorizontalDrawingGridEvery w:val="2"/>
  <w:displayVerticalDrawingGridEvery w:val="2"/>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385"/>
    <w:rsid w:val="0000062F"/>
    <w:rsid w:val="000719AD"/>
    <w:rsid w:val="000B1DF8"/>
    <w:rsid w:val="000C382B"/>
    <w:rsid w:val="000F794A"/>
    <w:rsid w:val="00125A09"/>
    <w:rsid w:val="00132E48"/>
    <w:rsid w:val="00157FCA"/>
    <w:rsid w:val="00165942"/>
    <w:rsid w:val="001830DD"/>
    <w:rsid w:val="001B5A39"/>
    <w:rsid w:val="00250232"/>
    <w:rsid w:val="0026667A"/>
    <w:rsid w:val="002B46E3"/>
    <w:rsid w:val="002D0EB2"/>
    <w:rsid w:val="002F7B56"/>
    <w:rsid w:val="00311A9A"/>
    <w:rsid w:val="00320F14"/>
    <w:rsid w:val="00341F4C"/>
    <w:rsid w:val="003E17BB"/>
    <w:rsid w:val="003F5A2A"/>
    <w:rsid w:val="003F6280"/>
    <w:rsid w:val="0042487C"/>
    <w:rsid w:val="004776CF"/>
    <w:rsid w:val="00486147"/>
    <w:rsid w:val="004A0059"/>
    <w:rsid w:val="004C359C"/>
    <w:rsid w:val="004F6B25"/>
    <w:rsid w:val="00523DA2"/>
    <w:rsid w:val="00587F47"/>
    <w:rsid w:val="005B296B"/>
    <w:rsid w:val="00631151"/>
    <w:rsid w:val="00652F9A"/>
    <w:rsid w:val="006B5367"/>
    <w:rsid w:val="006B5DDD"/>
    <w:rsid w:val="006B6B61"/>
    <w:rsid w:val="0076780A"/>
    <w:rsid w:val="00846F97"/>
    <w:rsid w:val="008A0B82"/>
    <w:rsid w:val="008E196B"/>
    <w:rsid w:val="008E4030"/>
    <w:rsid w:val="00935888"/>
    <w:rsid w:val="0098054A"/>
    <w:rsid w:val="009B17AC"/>
    <w:rsid w:val="009B2CDC"/>
    <w:rsid w:val="009B3A27"/>
    <w:rsid w:val="009F6018"/>
    <w:rsid w:val="00A227CA"/>
    <w:rsid w:val="00AA6655"/>
    <w:rsid w:val="00AD425F"/>
    <w:rsid w:val="00B123A9"/>
    <w:rsid w:val="00B30BC4"/>
    <w:rsid w:val="00B5045F"/>
    <w:rsid w:val="00B555D9"/>
    <w:rsid w:val="00B85B35"/>
    <w:rsid w:val="00BC2062"/>
    <w:rsid w:val="00BF5C92"/>
    <w:rsid w:val="00C16A9D"/>
    <w:rsid w:val="00C623BA"/>
    <w:rsid w:val="00C77FEE"/>
    <w:rsid w:val="00C87BFA"/>
    <w:rsid w:val="00CE2487"/>
    <w:rsid w:val="00D26C01"/>
    <w:rsid w:val="00DB16C6"/>
    <w:rsid w:val="00DC64CD"/>
    <w:rsid w:val="00ED4385"/>
    <w:rsid w:val="00FF3FFA"/>
    <w:rsid w:val="00FF69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41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43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1830DD"/>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8E4030"/>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8E4030"/>
    <w:rPr>
      <w:rFonts w:ascii="ArialNarrow-Bold" w:hAnsi="ArialNarrow-Bold" w:cs="ArialNarrow-Bold"/>
      <w:b/>
      <w:bCs/>
      <w:color w:val="000000"/>
      <w:sz w:val="18"/>
      <w:szCs w:val="18"/>
    </w:rPr>
  </w:style>
  <w:style w:type="paragraph" w:customStyle="1" w:styleId="BodyCopy-6pt">
    <w:name w:val="Body Copy - 6 pt"/>
    <w:basedOn w:val="Normal"/>
    <w:uiPriority w:val="99"/>
    <w:rsid w:val="006B5367"/>
    <w:pPr>
      <w:widowControl w:val="0"/>
      <w:tabs>
        <w:tab w:val="left" w:pos="200"/>
      </w:tabs>
      <w:suppressAutoHyphens/>
      <w:autoSpaceDE w:val="0"/>
      <w:autoSpaceDN w:val="0"/>
      <w:adjustRightInd w:val="0"/>
      <w:spacing w:line="288" w:lineRule="auto"/>
      <w:jc w:val="both"/>
      <w:textAlignment w:val="center"/>
    </w:pPr>
    <w:rPr>
      <w:rFonts w:ascii="ArialMT" w:hAnsi="ArialMT" w:cs="ArialMT"/>
      <w:color w:val="000000"/>
      <w:spacing w:val="-1"/>
      <w:sz w:val="12"/>
      <w:szCs w:val="12"/>
    </w:rPr>
  </w:style>
  <w:style w:type="paragraph" w:customStyle="1" w:styleId="NoParagraphStyle">
    <w:name w:val="[No Paragraph Style]"/>
    <w:rsid w:val="006B5367"/>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ContentsHeaderlowercase">
    <w:name w:val="Contents Header lowercase"/>
    <w:basedOn w:val="NoParagraphStyle"/>
    <w:uiPriority w:val="99"/>
    <w:rsid w:val="006B5367"/>
    <w:pPr>
      <w:spacing w:before="20"/>
    </w:pPr>
    <w:rPr>
      <w:rFonts w:ascii="Arial-BoldMT" w:hAnsi="Arial-BoldMT" w:cs="Arial-BoldMT"/>
      <w:b/>
      <w:bCs/>
      <w:sz w:val="14"/>
      <w:szCs w:val="14"/>
    </w:rPr>
  </w:style>
  <w:style w:type="paragraph" w:customStyle="1" w:styleId="HeaderCAPS-7pt">
    <w:name w:val="Header CAPS - 7pt"/>
    <w:basedOn w:val="NoParagraphStyle"/>
    <w:uiPriority w:val="99"/>
    <w:rsid w:val="006B5367"/>
    <w:pPr>
      <w:spacing w:before="20"/>
    </w:pPr>
    <w:rPr>
      <w:rFonts w:ascii="Arial-BoldMT" w:hAnsi="Arial-BoldMT" w:cs="Arial-BoldMT"/>
      <w:b/>
      <w:bCs/>
      <w:caps/>
      <w:sz w:val="14"/>
      <w:szCs w:val="14"/>
    </w:rPr>
  </w:style>
  <w:style w:type="paragraph" w:styleId="Bibliography">
    <w:name w:val="Bibliography"/>
    <w:basedOn w:val="Normal"/>
    <w:next w:val="Normal"/>
    <w:uiPriority w:val="37"/>
    <w:semiHidden/>
    <w:unhideWhenUsed/>
    <w:rsid w:val="00652F9A"/>
  </w:style>
  <w:style w:type="paragraph" w:customStyle="1" w:styleId="BodyCopy">
    <w:name w:val="Body Copy"/>
    <w:basedOn w:val="NoParagraphStyle"/>
    <w:uiPriority w:val="99"/>
    <w:rsid w:val="00652F9A"/>
    <w:pPr>
      <w:tabs>
        <w:tab w:val="left" w:pos="220"/>
        <w:tab w:val="left" w:pos="440"/>
        <w:tab w:val="left" w:pos="640"/>
        <w:tab w:val="left" w:pos="840"/>
      </w:tabs>
      <w:jc w:val="both"/>
    </w:pPr>
    <w:rPr>
      <w:rFonts w:ascii="ArialNarrow" w:hAnsi="ArialNarrow" w:cs="ArialNarrow"/>
      <w:spacing w:val="-1"/>
      <w:sz w:val="18"/>
      <w:szCs w:val="18"/>
    </w:rPr>
  </w:style>
  <w:style w:type="paragraph" w:customStyle="1" w:styleId="Bodycopybold">
    <w:name w:val="Body copy bold"/>
    <w:basedOn w:val="BodyCopy"/>
    <w:uiPriority w:val="99"/>
    <w:rsid w:val="00652F9A"/>
    <w:rPr>
      <w:rFonts w:ascii="ArialNarrow-Bold" w:hAnsi="ArialNarrow-Bold" w:cs="ArialNarrow-Bold"/>
      <w:b/>
      <w:bCs/>
    </w:rPr>
  </w:style>
  <w:style w:type="paragraph" w:customStyle="1" w:styleId="BasicParagraph">
    <w:name w:val="[Basic Paragraph]"/>
    <w:basedOn w:val="NoParagraphStyle"/>
    <w:uiPriority w:val="99"/>
    <w:rsid w:val="00652F9A"/>
    <w:pPr>
      <w:tabs>
        <w:tab w:val="left" w:pos="220"/>
        <w:tab w:val="left" w:pos="440"/>
        <w:tab w:val="left" w:pos="640"/>
        <w:tab w:val="left" w:pos="840"/>
      </w:tabs>
    </w:pPr>
    <w:rPr>
      <w:rFonts w:ascii="ArialNarrow" w:hAnsi="ArialNarrow" w:cs="ArialNarrow"/>
      <w:sz w:val="16"/>
      <w:szCs w:val="16"/>
    </w:rPr>
  </w:style>
  <w:style w:type="paragraph" w:customStyle="1" w:styleId="Parameterstabs">
    <w:name w:val="Parameters tabs"/>
    <w:basedOn w:val="Normal"/>
    <w:uiPriority w:val="99"/>
    <w:rsid w:val="00652F9A"/>
    <w:pPr>
      <w:widowControl w:val="0"/>
      <w:tabs>
        <w:tab w:val="left" w:pos="240"/>
        <w:tab w:val="left" w:pos="440"/>
        <w:tab w:val="left" w:pos="2240"/>
      </w:tabs>
      <w:autoSpaceDE w:val="0"/>
      <w:autoSpaceDN w:val="0"/>
      <w:adjustRightInd w:val="0"/>
      <w:spacing w:line="160" w:lineRule="atLeast"/>
      <w:jc w:val="both"/>
      <w:textAlignment w:val="center"/>
    </w:pPr>
    <w:rPr>
      <w:rFonts w:ascii="ArialNarrow" w:hAnsi="ArialNarrow" w:cs="ArialNarrow"/>
      <w:color w:val="000000"/>
      <w:spacing w:val="-1"/>
      <w:sz w:val="16"/>
      <w:szCs w:val="16"/>
    </w:rPr>
  </w:style>
  <w:style w:type="paragraph" w:customStyle="1" w:styleId="ParametersunderlinedTitles">
    <w:name w:val="Parameters underlined Titles"/>
    <w:basedOn w:val="Parameterstabs"/>
    <w:uiPriority w:val="99"/>
    <w:rsid w:val="00652F9A"/>
    <w:pPr>
      <w:spacing w:before="20" w:after="40"/>
      <w:jc w:val="center"/>
    </w:pPr>
    <w:rPr>
      <w:rFonts w:ascii="ArialNarrow-Bold" w:hAnsi="ArialNarrow-Bold" w:cs="ArialNarrow-Bold"/>
      <w:b/>
      <w:bCs/>
      <w:u w:val="thick"/>
    </w:rPr>
  </w:style>
  <w:style w:type="character" w:customStyle="1" w:styleId="CharacterStyle1">
    <w:name w:val="Character Style 1"/>
    <w:uiPriority w:val="99"/>
    <w:rsid w:val="00652F9A"/>
    <w:rPr>
      <w:rFonts w:ascii="ArialNarrowMTStd" w:hAnsi="ArialNarrowMTStd" w:cs="ArialNarrowMTStd"/>
      <w:u w:val="thick" w:color="000000"/>
    </w:rPr>
  </w:style>
  <w:style w:type="character" w:customStyle="1" w:styleId="CharacterStyle2">
    <w:name w:val="Character Style 2"/>
    <w:uiPriority w:val="99"/>
    <w:rsid w:val="00652F9A"/>
    <w:rPr>
      <w:rFonts w:ascii="ArialNarrowMTStd" w:hAnsi="ArialNarrowMTStd" w:cs="ArialNarrowMTStd"/>
      <w:strike/>
    </w:rPr>
  </w:style>
  <w:style w:type="paragraph" w:customStyle="1" w:styleId="ProNumberREV">
    <w:name w:val="Pro Number &amp; REV"/>
    <w:basedOn w:val="NoParagraphStyle"/>
    <w:uiPriority w:val="99"/>
    <w:rsid w:val="002F7B56"/>
    <w:pPr>
      <w:tabs>
        <w:tab w:val="left" w:pos="220"/>
        <w:tab w:val="left" w:pos="420"/>
      </w:tabs>
      <w:spacing w:before="36" w:line="120" w:lineRule="atLeast"/>
      <w:jc w:val="right"/>
    </w:pPr>
    <w:rPr>
      <w:rFonts w:ascii="Helvetica" w:hAnsi="Helvetica" w:cs="Helvetica"/>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4400</Words>
  <Characters>25080</Characters>
  <Application>Microsoft Macintosh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2017-02-28T20:47:00Z</cp:lastPrinted>
  <dcterms:created xsi:type="dcterms:W3CDTF">2017-06-29T13:53:00Z</dcterms:created>
  <dcterms:modified xsi:type="dcterms:W3CDTF">2017-06-29T14:07:00Z</dcterms:modified>
</cp:coreProperties>
</file>